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514A7" w14:textId="77777777" w:rsidR="005B2932" w:rsidRPr="005B2932" w:rsidRDefault="005B2932" w:rsidP="005B2932">
      <w:pPr>
        <w:spacing w:line="259" w:lineRule="auto"/>
        <w:rPr>
          <w:rFonts w:ascii="Times New Roman" w:eastAsia="Aptos" w:hAnsi="Times New Roman" w:cs="Times New Roman"/>
          <w:b/>
          <w:bCs/>
          <w:lang w:val="en-GB"/>
        </w:rPr>
      </w:pPr>
      <w:r w:rsidRPr="005B2932">
        <w:rPr>
          <w:rFonts w:ascii="Times New Roman" w:eastAsia="Aptos" w:hAnsi="Times New Roman" w:cs="Times New Roman"/>
          <w:b/>
          <w:bCs/>
          <w:lang w:val="en-GB"/>
        </w:rPr>
        <w:t xml:space="preserve">SUPPLEMENTARY FIGURES </w:t>
      </w:r>
    </w:p>
    <w:p w14:paraId="7F9634B0" w14:textId="77777777" w:rsidR="005B2932" w:rsidRPr="005B2932" w:rsidRDefault="005B2932" w:rsidP="005B2932">
      <w:pPr>
        <w:spacing w:line="259" w:lineRule="auto"/>
        <w:jc w:val="both"/>
        <w:rPr>
          <w:rFonts w:ascii="Times New Roman" w:eastAsia="Aptos" w:hAnsi="Times New Roman" w:cs="Times New Roman"/>
          <w:kern w:val="0"/>
          <w:lang w:val="en-GB"/>
          <w14:ligatures w14:val="none"/>
        </w:rPr>
      </w:pPr>
      <w:r w:rsidRPr="005B2932">
        <w:rPr>
          <w:rFonts w:ascii="Aptos" w:eastAsia="Aptos" w:hAnsi="Aptos" w:cs="Times New Roman"/>
          <w:noProof/>
          <w:sz w:val="22"/>
          <w:szCs w:val="22"/>
          <w:lang w:val="en-GB"/>
        </w:rPr>
        <w:drawing>
          <wp:inline distT="0" distB="0" distL="0" distR="0" wp14:anchorId="4CBCB1C3" wp14:editId="7DFC563C">
            <wp:extent cx="5083810" cy="3152775"/>
            <wp:effectExtent l="0" t="0" r="0" b="0"/>
            <wp:docPr id="438591583" name="Picture 2" descr="A graph of a number of patients with chronic vandalum exposu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591583" name="Picture 2" descr="A graph of a number of patients with chronic vandalum exposur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81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932">
        <w:rPr>
          <w:rFonts w:ascii="Times New Roman" w:eastAsia="Aptos" w:hAnsi="Times New Roman" w:cs="Times New Roman"/>
          <w:b/>
          <w:bCs/>
          <w:lang w:val="en-GB"/>
        </w:rPr>
        <w:t>Supplementary 1:</w:t>
      </w:r>
      <w:r w:rsidRPr="005B2932">
        <w:rPr>
          <w:rFonts w:ascii="Times New Roman" w:eastAsia="Aptos" w:hAnsi="Times New Roman" w:cs="Times New Roman"/>
          <w:lang w:val="en-GB"/>
        </w:rPr>
        <w:t xml:space="preserve"> </w:t>
      </w:r>
      <w:r w:rsidRPr="005B2932">
        <w:rPr>
          <w:rFonts w:ascii="Times New Roman" w:eastAsia="Aptos" w:hAnsi="Times New Roman" w:cs="Times New Roman"/>
          <w:kern w:val="0"/>
          <w:lang w:val="en-GB"/>
          <w14:ligatures w14:val="none"/>
        </w:rPr>
        <w:t>Quantitative analysis also showed that TNF α immunoreactive cells are more expressed in the frontoparietal cortices relative to hippocampus in chronicity of metal exposure</w:t>
      </w:r>
      <w:bookmarkStart w:id="0" w:name="_Hlk185177509"/>
      <w:r w:rsidRPr="005B2932">
        <w:rPr>
          <w:rFonts w:ascii="Times New Roman" w:eastAsia="Aptos" w:hAnsi="Times New Roman" w:cs="Times New Roman"/>
          <w:kern w:val="0"/>
          <w:lang w:val="en-GB"/>
          <w14:ligatures w14:val="none"/>
        </w:rPr>
        <w:t xml:space="preserve">. </w:t>
      </w:r>
      <w:r w:rsidRPr="005B2932">
        <w:rPr>
          <w:rFonts w:ascii="Times New Roman" w:eastAsia="Aptos" w:hAnsi="Times New Roman" w:cs="Times New Roman"/>
          <w:sz w:val="22"/>
          <w:szCs w:val="22"/>
          <w:lang w:val="en-GB"/>
        </w:rPr>
        <w:t>[(</w:t>
      </w:r>
      <w:r w:rsidRPr="005B2932">
        <w:rPr>
          <w:rFonts w:ascii="Times New Roman" w:eastAsia="Aptos" w:hAnsi="Times New Roman" w:cs="Times New Roman"/>
          <w:i/>
          <w:iCs/>
          <w:sz w:val="22"/>
          <w:szCs w:val="22"/>
          <w:lang w:val="en-GB"/>
        </w:rPr>
        <w:t xml:space="preserve">n </w:t>
      </w:r>
      <w:r w:rsidRPr="005B2932">
        <w:rPr>
          <w:rFonts w:ascii="Times New Roman" w:eastAsia="Aptos" w:hAnsi="Times New Roman" w:cs="Times New Roman"/>
          <w:sz w:val="22"/>
          <w:szCs w:val="22"/>
          <w:lang w:val="en-GB"/>
        </w:rPr>
        <w:t xml:space="preserve">= 8 mice/group; intensity analysis = 6 mice; Scale bar: 50 </w:t>
      </w:r>
      <w:r w:rsidRPr="005B2932">
        <w:rPr>
          <w:rFonts w:ascii="Times New Roman" w:eastAsia="Aptos" w:hAnsi="Times New Roman" w:cs="Times New Roman" w:hint="eastAsia"/>
          <w:sz w:val="22"/>
          <w:szCs w:val="22"/>
          <w:lang w:val="en-GB"/>
        </w:rPr>
        <w:t>μ</w:t>
      </w:r>
      <w:r w:rsidRPr="005B2932">
        <w:rPr>
          <w:rFonts w:ascii="Times New Roman" w:eastAsia="Aptos" w:hAnsi="Times New Roman" w:cs="Times New Roman"/>
          <w:sz w:val="22"/>
          <w:szCs w:val="22"/>
          <w:lang w:val="en-GB"/>
        </w:rPr>
        <w:t xml:space="preserve">m; </w:t>
      </w:r>
      <w:r w:rsidRPr="005B2932">
        <w:rPr>
          <w:rFonts w:ascii="Times New Roman" w:eastAsia="Aptos" w:hAnsi="Times New Roman" w:cs="Times New Roman"/>
          <w:i/>
          <w:iCs/>
          <w:sz w:val="22"/>
          <w:szCs w:val="22"/>
          <w:lang w:val="en-GB"/>
        </w:rPr>
        <w:t xml:space="preserve">p </w:t>
      </w:r>
      <w:r w:rsidRPr="005B2932">
        <w:rPr>
          <w:rFonts w:ascii="Times New Roman" w:eastAsia="Aptos" w:hAnsi="Times New Roman" w:cs="Times New Roman"/>
          <w:sz w:val="22"/>
          <w:szCs w:val="22"/>
          <w:lang w:val="en-GB"/>
        </w:rPr>
        <w:t>&lt; 0.05). Normality test (Shapiro</w:t>
      </w:r>
      <w:r w:rsidRPr="005B2932">
        <w:rPr>
          <w:rFonts w:ascii="Times New Roman" w:eastAsia="Aptos" w:hAnsi="Times New Roman" w:cs="Times New Roman" w:hint="eastAsia"/>
          <w:sz w:val="22"/>
          <w:szCs w:val="22"/>
          <w:lang w:val="en-GB"/>
        </w:rPr>
        <w:t>–</w:t>
      </w:r>
      <w:r w:rsidRPr="005B2932">
        <w:rPr>
          <w:rFonts w:ascii="Times New Roman" w:eastAsia="Aptos" w:hAnsi="Times New Roman" w:cs="Times New Roman"/>
          <w:sz w:val="22"/>
          <w:szCs w:val="22"/>
          <w:lang w:val="en-GB"/>
        </w:rPr>
        <w:t xml:space="preserve">Wilk) = FPC (12 months exposure: </w:t>
      </w:r>
      <w:r w:rsidRPr="005B2932">
        <w:rPr>
          <w:rFonts w:ascii="Times New Roman" w:eastAsia="Aptos" w:hAnsi="Times New Roman" w:cs="Times New Roman"/>
          <w:i/>
          <w:iCs/>
          <w:sz w:val="22"/>
          <w:szCs w:val="22"/>
          <w:lang w:val="en-GB"/>
        </w:rPr>
        <w:t xml:space="preserve">p </w:t>
      </w:r>
      <w:r w:rsidRPr="005B2932">
        <w:rPr>
          <w:rFonts w:ascii="Times New Roman" w:eastAsia="Aptos" w:hAnsi="Times New Roman" w:cs="Times New Roman"/>
          <w:sz w:val="22"/>
          <w:szCs w:val="22"/>
          <w:lang w:val="en-GB"/>
        </w:rPr>
        <w:t xml:space="preserve">value 0.0001) </w:t>
      </w:r>
      <w:r w:rsidRPr="005B2932">
        <w:rPr>
          <w:rFonts w:ascii="Times New Roman" w:eastAsia="Aptos" w:hAnsi="Times New Roman" w:cs="Times New Roman"/>
          <w:lang w:val="en-GB"/>
        </w:rPr>
        <w:t>(*p&lt;0.05)].</w:t>
      </w:r>
    </w:p>
    <w:p w14:paraId="407044F7" w14:textId="77777777" w:rsidR="005B2932" w:rsidRPr="005B2932" w:rsidRDefault="005B2932" w:rsidP="005B2932">
      <w:pPr>
        <w:spacing w:line="259" w:lineRule="auto"/>
        <w:rPr>
          <w:rFonts w:ascii="Times New Roman" w:eastAsia="Aptos" w:hAnsi="Times New Roman" w:cs="Times New Roman"/>
          <w:noProof/>
          <w:lang w:val="en-GB"/>
        </w:rPr>
      </w:pPr>
      <w:r w:rsidRPr="005B2932">
        <w:rPr>
          <w:rFonts w:ascii="Times New Roman" w:eastAsia="Aptos" w:hAnsi="Times New Roman" w:cs="Times New Roman"/>
          <w:noProof/>
          <w:lang w:val="en-GB"/>
        </w:rPr>
        <w:br w:type="page"/>
      </w:r>
    </w:p>
    <w:p w14:paraId="2E12897B" w14:textId="77777777" w:rsidR="005B2932" w:rsidRPr="005B2932" w:rsidRDefault="005B2932" w:rsidP="005B2932">
      <w:pPr>
        <w:spacing w:line="259" w:lineRule="auto"/>
        <w:jc w:val="center"/>
        <w:rPr>
          <w:rFonts w:ascii="Times New Roman" w:eastAsia="Aptos" w:hAnsi="Times New Roman" w:cs="Times New Roman"/>
          <w:b/>
          <w:bCs/>
          <w:lang w:val="en-GB"/>
        </w:rPr>
      </w:pPr>
      <w:r w:rsidRPr="005B2932">
        <w:rPr>
          <w:rFonts w:ascii="Aptos" w:eastAsia="Aptos" w:hAnsi="Aptos" w:cs="Times New Roman"/>
          <w:noProof/>
          <w:sz w:val="22"/>
          <w:szCs w:val="22"/>
          <w:lang w:val="en-GB"/>
        </w:rPr>
        <w:lastRenderedPageBreak/>
        <w:drawing>
          <wp:inline distT="0" distB="0" distL="0" distR="0" wp14:anchorId="5485382D" wp14:editId="15C90445">
            <wp:extent cx="4493895" cy="5452281"/>
            <wp:effectExtent l="0" t="0" r="0" b="0"/>
            <wp:docPr id="915505448" name="Picture 3" descr="A comparison of a positive and a positive cell fie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505448" name="Picture 3" descr="A comparison of a positive and a positive cell field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949" cy="5475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30EDAE" w14:textId="77777777" w:rsidR="005B2932" w:rsidRPr="005B2932" w:rsidRDefault="005B2932" w:rsidP="005B2932">
      <w:pPr>
        <w:spacing w:after="0" w:line="240" w:lineRule="auto"/>
        <w:jc w:val="both"/>
        <w:rPr>
          <w:rFonts w:ascii="Times New Roman" w:eastAsia="Aptos" w:hAnsi="Times New Roman" w:cs="Times New Roman"/>
          <w:kern w:val="0"/>
        </w:rPr>
      </w:pPr>
      <w:r w:rsidRPr="005B2932">
        <w:rPr>
          <w:rFonts w:ascii="Times New Roman" w:eastAsia="Aptos" w:hAnsi="Times New Roman" w:cs="Times New Roman"/>
          <w:b/>
          <w:bCs/>
          <w:kern w:val="0"/>
        </w:rPr>
        <w:t>Supplementary 2.</w:t>
      </w:r>
      <w:r w:rsidRPr="005B2932">
        <w:rPr>
          <w:rFonts w:ascii="Times New Roman" w:eastAsia="Aptos" w:hAnsi="Times New Roman" w:cs="Times New Roman"/>
          <w:kern w:val="0"/>
        </w:rPr>
        <w:t xml:space="preserve"> TNFα colocalization with neurons, astrocytes, and microglia in the frontoparietal cortices (A) and hippocampus (B) of mice brains after recurrent vanadium-induced toxicity from 6 to 18 months. TNFα expression in neurons was significantly higher than in astrocytes and microglia, with this expression increasing with chronicity of vanadium exposure</w:t>
      </w:r>
      <w:bookmarkEnd w:id="0"/>
      <w:r w:rsidRPr="005B2932">
        <w:rPr>
          <w:rFonts w:ascii="Times New Roman" w:eastAsia="Aptos" w:hAnsi="Times New Roman" w:cs="Times New Roman"/>
          <w:kern w:val="0"/>
        </w:rPr>
        <w:t xml:space="preserve">. </w:t>
      </w:r>
      <w:r w:rsidRPr="005B2932">
        <w:rPr>
          <w:rFonts w:ascii="Times New Roman" w:eastAsia="Aptos" w:hAnsi="Times New Roman" w:cs="Times New Roman"/>
          <w:kern w:val="0"/>
          <w:sz w:val="22"/>
          <w:szCs w:val="22"/>
        </w:rPr>
        <w:t>[(</w:t>
      </w:r>
      <w:r w:rsidRPr="005B2932">
        <w:rPr>
          <w:rFonts w:ascii="Times New Roman" w:eastAsia="Aptos" w:hAnsi="Times New Roman" w:cs="Times New Roman"/>
          <w:i/>
          <w:iCs/>
          <w:kern w:val="0"/>
          <w:sz w:val="22"/>
          <w:szCs w:val="22"/>
        </w:rPr>
        <w:t xml:space="preserve">n </w:t>
      </w:r>
      <w:r w:rsidRPr="005B2932">
        <w:rPr>
          <w:rFonts w:ascii="Times New Roman" w:eastAsia="Aptos" w:hAnsi="Times New Roman" w:cs="Times New Roman"/>
          <w:kern w:val="0"/>
          <w:sz w:val="22"/>
          <w:szCs w:val="22"/>
        </w:rPr>
        <w:t xml:space="preserve">= 8 mice/group; intensity analysis = 6 mice; Scale bar: 50 </w:t>
      </w:r>
      <w:proofErr w:type="spellStart"/>
      <w:r w:rsidRPr="005B2932">
        <w:rPr>
          <w:rFonts w:ascii="Times New Roman" w:eastAsia="Aptos" w:hAnsi="Times New Roman" w:cs="Times New Roman" w:hint="eastAsia"/>
          <w:kern w:val="0"/>
          <w:sz w:val="22"/>
          <w:szCs w:val="22"/>
        </w:rPr>
        <w:t>μ</w:t>
      </w:r>
      <w:r w:rsidRPr="005B2932">
        <w:rPr>
          <w:rFonts w:ascii="Times New Roman" w:eastAsia="Aptos" w:hAnsi="Times New Roman" w:cs="Times New Roman"/>
          <w:kern w:val="0"/>
          <w:sz w:val="22"/>
          <w:szCs w:val="22"/>
        </w:rPr>
        <w:t>m</w:t>
      </w:r>
      <w:proofErr w:type="spellEnd"/>
      <w:r w:rsidRPr="005B2932">
        <w:rPr>
          <w:rFonts w:ascii="Times New Roman" w:eastAsia="Aptos" w:hAnsi="Times New Roman" w:cs="Times New Roman"/>
          <w:kern w:val="0"/>
          <w:sz w:val="22"/>
          <w:szCs w:val="22"/>
        </w:rPr>
        <w:t xml:space="preserve">; </w:t>
      </w:r>
      <w:r w:rsidRPr="005B2932">
        <w:rPr>
          <w:rFonts w:ascii="Times New Roman" w:eastAsia="Aptos" w:hAnsi="Times New Roman" w:cs="Times New Roman"/>
          <w:i/>
          <w:iCs/>
          <w:kern w:val="0"/>
          <w:sz w:val="22"/>
          <w:szCs w:val="22"/>
        </w:rPr>
        <w:t xml:space="preserve">p </w:t>
      </w:r>
      <w:r w:rsidRPr="005B2932">
        <w:rPr>
          <w:rFonts w:ascii="Times New Roman" w:eastAsia="Aptos" w:hAnsi="Times New Roman" w:cs="Times New Roman"/>
          <w:kern w:val="0"/>
          <w:sz w:val="22"/>
          <w:szCs w:val="22"/>
        </w:rPr>
        <w:t xml:space="preserve">&lt; 0.05) </w:t>
      </w:r>
      <w:r w:rsidRPr="005B2932">
        <w:rPr>
          <w:rFonts w:ascii="Times New Roman" w:eastAsia="Aptos" w:hAnsi="Times New Roman" w:cs="Times New Roman"/>
          <w:kern w:val="0"/>
          <w:lang w:val="en-GB"/>
        </w:rPr>
        <w:t>(*p&lt;0.05, ***p &lt; 0.001; ****p &lt; 0.0001)]</w:t>
      </w:r>
      <w:r w:rsidRPr="005B2932">
        <w:rPr>
          <w:rFonts w:ascii="Times New Roman" w:eastAsia="Aptos" w:hAnsi="Times New Roman" w:cs="Times New Roman"/>
          <w:kern w:val="0"/>
        </w:rPr>
        <w:t>.</w:t>
      </w:r>
    </w:p>
    <w:p w14:paraId="281AF651" w14:textId="77777777" w:rsidR="005B2932" w:rsidRPr="005B2932" w:rsidRDefault="005B2932" w:rsidP="005B2932">
      <w:pPr>
        <w:spacing w:line="259" w:lineRule="auto"/>
        <w:rPr>
          <w:rFonts w:ascii="Times New Roman" w:eastAsia="Aptos" w:hAnsi="Times New Roman" w:cs="Times New Roman"/>
          <w:lang w:val="en-GB"/>
        </w:rPr>
      </w:pPr>
    </w:p>
    <w:p w14:paraId="2D684D8E" w14:textId="77777777" w:rsidR="005B2932" w:rsidRPr="005B2932" w:rsidRDefault="005B2932" w:rsidP="005B2932">
      <w:pPr>
        <w:spacing w:line="259" w:lineRule="auto"/>
        <w:rPr>
          <w:rFonts w:ascii="Times New Roman" w:eastAsia="Aptos" w:hAnsi="Times New Roman" w:cs="Times New Roman"/>
          <w:lang w:val="en-GB"/>
        </w:rPr>
      </w:pPr>
    </w:p>
    <w:p w14:paraId="1574090B" w14:textId="77777777" w:rsidR="005B2932" w:rsidRPr="005B2932" w:rsidRDefault="005B2932" w:rsidP="005B2932">
      <w:pPr>
        <w:spacing w:line="259" w:lineRule="auto"/>
        <w:rPr>
          <w:rFonts w:ascii="Times New Roman" w:eastAsia="Aptos" w:hAnsi="Times New Roman" w:cs="Times New Roman"/>
          <w:lang w:val="en-GB"/>
        </w:rPr>
      </w:pPr>
    </w:p>
    <w:p w14:paraId="1F8BB747" w14:textId="77777777" w:rsidR="005B2932" w:rsidRPr="005B2932" w:rsidRDefault="005B2932" w:rsidP="005B2932">
      <w:pPr>
        <w:spacing w:line="259" w:lineRule="auto"/>
        <w:rPr>
          <w:rFonts w:ascii="Times New Roman" w:eastAsia="Aptos" w:hAnsi="Times New Roman" w:cs="Times New Roman"/>
          <w:lang w:val="en-GB"/>
        </w:rPr>
      </w:pPr>
    </w:p>
    <w:p w14:paraId="4E02CED2" w14:textId="77777777" w:rsidR="005B2932" w:rsidRPr="005B2932" w:rsidRDefault="005B2932" w:rsidP="005B2932">
      <w:pPr>
        <w:spacing w:line="259" w:lineRule="auto"/>
        <w:rPr>
          <w:rFonts w:ascii="Times New Roman" w:eastAsia="Aptos" w:hAnsi="Times New Roman" w:cs="Times New Roman"/>
          <w:lang w:val="en-GB"/>
        </w:rPr>
      </w:pPr>
    </w:p>
    <w:p w14:paraId="5CC538B0" w14:textId="77777777" w:rsidR="005B2932" w:rsidRPr="005B2932" w:rsidRDefault="005B2932" w:rsidP="005B2932">
      <w:pPr>
        <w:spacing w:line="259" w:lineRule="auto"/>
        <w:jc w:val="center"/>
        <w:rPr>
          <w:rFonts w:ascii="Times New Roman" w:eastAsia="Aptos" w:hAnsi="Times New Roman" w:cs="Times New Roman"/>
          <w:b/>
          <w:bCs/>
          <w:lang w:val="en-GB"/>
        </w:rPr>
      </w:pPr>
      <w:r w:rsidRPr="005B2932">
        <w:rPr>
          <w:rFonts w:ascii="Times New Roman" w:eastAsia="Aptos" w:hAnsi="Times New Roman" w:cs="Times New Roman"/>
          <w:b/>
          <w:bCs/>
          <w:lang w:val="en-GB"/>
        </w:rPr>
        <w:lastRenderedPageBreak/>
        <w:t>TABLES</w:t>
      </w:r>
    </w:p>
    <w:p w14:paraId="151C8F15" w14:textId="77777777" w:rsidR="005B2932" w:rsidRPr="005B2932" w:rsidRDefault="005B2932" w:rsidP="005B2932">
      <w:pPr>
        <w:rPr>
          <w:rFonts w:ascii="Times New Roman" w:eastAsia="Times New Roman" w:hAnsi="Times New Roman" w:cs="Times New Roman"/>
          <w:lang w:eastAsia="zh-CN"/>
        </w:rPr>
      </w:pPr>
      <w:r w:rsidRPr="005B2932">
        <w:rPr>
          <w:rFonts w:ascii="Times New Roman" w:eastAsia="Times New Roman" w:hAnsi="Times New Roman" w:cs="Times New Roman"/>
          <w:b/>
          <w:bCs/>
          <w:lang w:eastAsia="zh-CN"/>
        </w:rPr>
        <w:t>Table 1:</w:t>
      </w:r>
      <w:r w:rsidRPr="005B2932">
        <w:rPr>
          <w:rFonts w:ascii="Times New Roman" w:eastAsia="Times New Roman" w:hAnsi="Times New Roman" w:cs="Times New Roman"/>
          <w:lang w:eastAsia="zh-CN"/>
        </w:rPr>
        <w:t xml:space="preserve"> List of the primary and secondary antibodies used for immunofluorescence staining.</w:t>
      </w:r>
    </w:p>
    <w:tbl>
      <w:tblPr>
        <w:tblStyle w:val="TableGrid"/>
        <w:tblpPr w:leftFromText="180" w:rightFromText="180" w:vertAnchor="page" w:horzAnchor="margin" w:tblpY="2686"/>
        <w:tblW w:w="9776" w:type="dxa"/>
        <w:tblLook w:val="04A0" w:firstRow="1" w:lastRow="0" w:firstColumn="1" w:lastColumn="0" w:noHBand="0" w:noVBand="1"/>
      </w:tblPr>
      <w:tblGrid>
        <w:gridCol w:w="1129"/>
        <w:gridCol w:w="2407"/>
        <w:gridCol w:w="2133"/>
        <w:gridCol w:w="1556"/>
        <w:gridCol w:w="1559"/>
        <w:gridCol w:w="992"/>
      </w:tblGrid>
      <w:tr w:rsidR="005B2932" w:rsidRPr="005B2932" w14:paraId="1A903A80" w14:textId="77777777" w:rsidTr="0055780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D5A0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zh-CN"/>
              </w:rPr>
              <w:t>Serial No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090F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zh-CN"/>
              </w:rPr>
              <w:t>Names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4531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zh-CN"/>
              </w:rPr>
              <w:t>Source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19E1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zh-CN"/>
              </w:rPr>
              <w:t>Catalog No.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A59A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zh-CN"/>
              </w:rPr>
              <w:t>RRID No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EF1E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zh-CN"/>
              </w:rPr>
              <w:t>Dilution</w:t>
            </w:r>
          </w:p>
        </w:tc>
      </w:tr>
      <w:tr w:rsidR="005B2932" w:rsidRPr="005B2932" w14:paraId="6BD608A1" w14:textId="77777777" w:rsidTr="0055780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09DB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E9BA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Chicken anti-GFAP 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763C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Abcam, Cambridge, United Kingdom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CAB0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ab4674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BB8C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AB_304558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BC34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1:1000</w:t>
            </w:r>
          </w:p>
        </w:tc>
      </w:tr>
      <w:tr w:rsidR="005B2932" w:rsidRPr="005B2932" w14:paraId="4F5EDF6E" w14:textId="77777777" w:rsidTr="0055780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FE81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51A3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Rabbit anti-</w:t>
            </w:r>
            <w:proofErr w:type="spellStart"/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NeuN</w:t>
            </w:r>
            <w:proofErr w:type="spellEnd"/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AB96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Abcam, Cambridge, United Kingdom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7D5E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ab104225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8439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AB_10711153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48F7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1:500</w:t>
            </w:r>
          </w:p>
        </w:tc>
      </w:tr>
      <w:tr w:rsidR="005B2932" w:rsidRPr="005B2932" w14:paraId="78D5B24D" w14:textId="77777777" w:rsidTr="0055780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658B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2C2A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Mouse </w:t>
            </w:r>
            <w:r w:rsidRPr="005B2932">
              <w:rPr>
                <w:rFonts w:ascii="Times New Roman" w:eastAsia="Times New Roman" w:hAnsi="Times New Roman" w:cs="Times New Roman"/>
                <w:kern w:val="0"/>
                <w:lang w:val="en-GB" w:eastAsia="zh-CN"/>
                <w14:ligatures w14:val="none"/>
              </w:rPr>
              <w:t>anti-TNFα (52B83)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F03D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Abcam, Cambridge, United Kingdom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6214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kern w:val="0"/>
                <w:lang w:val="en-GB" w:eastAsia="zh-CN"/>
                <w14:ligatures w14:val="none"/>
              </w:rPr>
              <w:t>ab1793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4DF2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AB_302615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E4A1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1:250</w:t>
            </w:r>
          </w:p>
        </w:tc>
      </w:tr>
      <w:tr w:rsidR="005B2932" w:rsidRPr="005B2932" w14:paraId="333F650F" w14:textId="77777777" w:rsidTr="0055780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2E8E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DDB9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Goat anti-Iba 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B767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Abcam, Cambridge, United Kingdom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E945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ab5076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E9C4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4B0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1;200</w:t>
            </w:r>
          </w:p>
        </w:tc>
      </w:tr>
      <w:tr w:rsidR="005B2932" w:rsidRPr="005B2932" w14:paraId="588AD10A" w14:textId="77777777" w:rsidTr="0055780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AEDE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50E5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Goat Alexa Fluor® 633-conjugated anti-chicken (</w:t>
            </w:r>
            <w:proofErr w:type="gramStart"/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IgG)   </w:t>
            </w:r>
            <w:proofErr w:type="gramEnd"/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  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174B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Invitrogen, Darmstadt, Germany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5143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804F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A21103</w:t>
            </w:r>
          </w:p>
          <w:p w14:paraId="68243209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6D38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1;400</w:t>
            </w:r>
          </w:p>
        </w:tc>
      </w:tr>
      <w:tr w:rsidR="005B2932" w:rsidRPr="005B2932" w14:paraId="1E541E87" w14:textId="77777777" w:rsidTr="0055780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4259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48BF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Goat Alexa Fluor® 568-conjugated anti-rabbit (</w:t>
            </w:r>
            <w:proofErr w:type="gramStart"/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IgG)   </w:t>
            </w:r>
            <w:proofErr w:type="gramEnd"/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      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76E5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Invitrogen, Darmstadt, Germany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E8D1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4F91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A11011</w:t>
            </w:r>
          </w:p>
          <w:p w14:paraId="75253A5A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F59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1;400</w:t>
            </w:r>
          </w:p>
        </w:tc>
      </w:tr>
      <w:tr w:rsidR="005B2932" w:rsidRPr="005B2932" w14:paraId="266E5BA2" w14:textId="77777777" w:rsidTr="0055780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E8AD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0134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Donkey Alexa Fluor® 488-conjugated anti-mouse (</w:t>
            </w:r>
            <w:proofErr w:type="gramStart"/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IgG)   </w:t>
            </w:r>
            <w:proofErr w:type="gramEnd"/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   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DEE3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Invitrogen, Darmstadt, Germany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90BE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A08A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A21202 </w:t>
            </w:r>
          </w:p>
          <w:p w14:paraId="0573ADF8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C2C8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1;400</w:t>
            </w:r>
          </w:p>
        </w:tc>
      </w:tr>
      <w:tr w:rsidR="005B2932" w:rsidRPr="005B2932" w14:paraId="1952CC9D" w14:textId="77777777" w:rsidTr="0055780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1BAF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ED82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Donkey Alexa Fluor® 633-conjugated anti-goat (</w:t>
            </w:r>
            <w:proofErr w:type="gramStart"/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IgG)   </w:t>
            </w:r>
            <w:proofErr w:type="gramEnd"/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  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3B1D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Invitrogen, Darmstadt, Germany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ABCA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5693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A21447</w:t>
            </w:r>
          </w:p>
          <w:p w14:paraId="21D9185A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EB18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1;400</w:t>
            </w:r>
          </w:p>
        </w:tc>
      </w:tr>
      <w:tr w:rsidR="005B2932" w:rsidRPr="005B2932" w14:paraId="1FB4F8B4" w14:textId="77777777" w:rsidTr="0055780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7529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5C5F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Donkey Alexa Fluor® 488-conjugated anti-rabbit (</w:t>
            </w:r>
            <w:proofErr w:type="gramStart"/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IgG)   </w:t>
            </w:r>
            <w:proofErr w:type="gramEnd"/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        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5E03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Invitrogen, Darmstadt, Germany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6717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BA91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A21206</w:t>
            </w:r>
          </w:p>
          <w:p w14:paraId="071F2505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EA36" w14:textId="77777777" w:rsidR="005B2932" w:rsidRPr="005B2932" w:rsidRDefault="005B2932" w:rsidP="005B293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5B293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1;400</w:t>
            </w:r>
          </w:p>
        </w:tc>
      </w:tr>
    </w:tbl>
    <w:p w14:paraId="7CB5D81F" w14:textId="77777777" w:rsidR="005B2932" w:rsidRPr="005B2932" w:rsidRDefault="005B2932" w:rsidP="005B2932">
      <w:pPr>
        <w:rPr>
          <w:rFonts w:ascii="Calibri" w:eastAsia="Times New Roman" w:hAnsi="Calibri" w:cs="Times New Roman"/>
          <w:lang w:eastAsia="zh-CN"/>
        </w:rPr>
      </w:pPr>
    </w:p>
    <w:p w14:paraId="67310915" w14:textId="77777777" w:rsidR="005B2932" w:rsidRPr="005B2932" w:rsidRDefault="005B2932" w:rsidP="005B2932">
      <w:pPr>
        <w:rPr>
          <w:rFonts w:ascii="Calibri" w:eastAsia="Times New Roman" w:hAnsi="Calibri" w:cs="Times New Roman"/>
          <w:lang w:eastAsia="zh-CN"/>
        </w:rPr>
      </w:pPr>
    </w:p>
    <w:p w14:paraId="5F365327" w14:textId="77777777" w:rsidR="005B2932" w:rsidRPr="005B2932" w:rsidRDefault="005B2932" w:rsidP="005B2932">
      <w:pPr>
        <w:rPr>
          <w:rFonts w:ascii="Calibri" w:eastAsia="Times New Roman" w:hAnsi="Calibri" w:cs="Times New Roman"/>
          <w:lang w:eastAsia="zh-CN"/>
        </w:rPr>
      </w:pPr>
    </w:p>
    <w:p w14:paraId="4220E7EB" w14:textId="77777777" w:rsidR="005B2932" w:rsidRPr="005B2932" w:rsidRDefault="005B2932" w:rsidP="005B2932">
      <w:pPr>
        <w:rPr>
          <w:rFonts w:ascii="Calibri" w:eastAsia="Times New Roman" w:hAnsi="Calibri" w:cs="Times New Roman"/>
          <w:lang w:eastAsia="zh-CN"/>
        </w:rPr>
      </w:pPr>
    </w:p>
    <w:p w14:paraId="036DF9AB" w14:textId="77777777" w:rsidR="005B2932" w:rsidRPr="005B2932" w:rsidRDefault="005B2932" w:rsidP="005B2932">
      <w:pPr>
        <w:rPr>
          <w:rFonts w:ascii="Calibri" w:eastAsia="Times New Roman" w:hAnsi="Calibri" w:cs="Times New Roman"/>
          <w:lang w:eastAsia="zh-CN"/>
        </w:rPr>
      </w:pPr>
    </w:p>
    <w:p w14:paraId="2D0FB9B0" w14:textId="77777777" w:rsidR="005B2932" w:rsidRPr="005B2932" w:rsidRDefault="005B2932" w:rsidP="005B2932">
      <w:pPr>
        <w:rPr>
          <w:rFonts w:ascii="Calibri" w:eastAsia="Times New Roman" w:hAnsi="Calibri" w:cs="Times New Roman"/>
          <w:lang w:eastAsia="zh-CN"/>
        </w:rPr>
      </w:pPr>
    </w:p>
    <w:p w14:paraId="4F5360FD" w14:textId="77777777" w:rsidR="005B2932" w:rsidRPr="005B2932" w:rsidRDefault="005B2932" w:rsidP="005B2932">
      <w:p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lang w:val="en-GB" w:eastAsia="zh-CN"/>
          <w14:ligatures w14:val="none"/>
        </w:rPr>
      </w:pPr>
    </w:p>
    <w:p w14:paraId="27E28476" w14:textId="77777777" w:rsidR="005B2932" w:rsidRDefault="005B2932"/>
    <w:sectPr w:rsidR="005B29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932"/>
    <w:rsid w:val="003534C9"/>
    <w:rsid w:val="005B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BF77A"/>
  <w15:chartTrackingRefBased/>
  <w15:docId w15:val="{DBC73F17-D28A-41D4-9C63-BBF54E52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2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2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29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2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29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2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2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29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29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29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29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29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29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29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29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29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29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29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29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2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29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2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29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29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29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29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29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29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293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B2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2025-08-07T17:24:00Z</dcterms:created>
  <dcterms:modified xsi:type="dcterms:W3CDTF">2025-08-07T17:26:00Z</dcterms:modified>
</cp:coreProperties>
</file>