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3AE7A" w14:textId="3A98E6FB" w:rsidR="005C78B8" w:rsidRPr="007517E0" w:rsidRDefault="005C78B8" w:rsidP="005C78B8">
      <w:pPr>
        <w:pStyle w:val="NormalWeb"/>
        <w:spacing w:line="480" w:lineRule="auto"/>
        <w:jc w:val="both"/>
        <w:rPr>
          <w:rFonts w:ascii="Arial" w:hAnsi="Arial" w:cs="Arial"/>
          <w:b/>
          <w:iCs/>
          <w:lang w:val="en-US"/>
        </w:rPr>
      </w:pPr>
      <w:r w:rsidRPr="007517E0">
        <w:rPr>
          <w:rFonts w:ascii="Arial" w:hAnsi="Arial" w:cs="Arial"/>
          <w:b/>
          <w:iCs/>
          <w:lang w:val="en-US"/>
        </w:rPr>
        <w:t xml:space="preserve">Supplementary Figure </w:t>
      </w:r>
    </w:p>
    <w:p w14:paraId="72292A60" w14:textId="77777777" w:rsidR="005C78B8" w:rsidRPr="007517E0" w:rsidRDefault="005C78B8" w:rsidP="005C78B8">
      <w:pPr>
        <w:pStyle w:val="NormalWeb"/>
        <w:spacing w:line="480" w:lineRule="auto"/>
        <w:jc w:val="both"/>
        <w:rPr>
          <w:rFonts w:ascii="Arial" w:hAnsi="Arial" w:cs="Arial"/>
          <w:lang w:val="en-US"/>
        </w:rPr>
      </w:pPr>
      <w:r w:rsidRPr="007517E0">
        <w:rPr>
          <w:rFonts w:ascii="Arial" w:hAnsi="Arial" w:cs="Arial"/>
          <w:bCs/>
          <w:iCs/>
          <w:lang w:val="en-US"/>
        </w:rPr>
        <w:t>(A–B) qPCR analysis of interferon-stimulated genes (</w:t>
      </w:r>
      <w:r w:rsidRPr="007517E0">
        <w:rPr>
          <w:rFonts w:ascii="Arial" w:hAnsi="Arial" w:cs="Arial"/>
          <w:bCs/>
          <w:i/>
          <w:iCs/>
          <w:lang w:val="en-US"/>
        </w:rPr>
        <w:t>Ifi27l2a, Ifi44, Ifit1, Isg15, Rsad2, Siglec1</w:t>
      </w:r>
      <w:r w:rsidRPr="007517E0">
        <w:rPr>
          <w:rFonts w:ascii="Arial" w:hAnsi="Arial" w:cs="Arial"/>
          <w:bCs/>
          <w:iCs/>
          <w:lang w:val="en-US"/>
        </w:rPr>
        <w:t xml:space="preserve">) in brains of </w:t>
      </w:r>
      <w:r w:rsidRPr="007517E0">
        <w:rPr>
          <w:rFonts w:ascii="Arial" w:hAnsi="Arial" w:cs="Arial"/>
          <w:bCs/>
          <w:i/>
          <w:iCs/>
          <w:lang w:val="en-US"/>
        </w:rPr>
        <w:t>Rnaset2</w:t>
      </w:r>
      <w:r w:rsidRPr="007517E0">
        <w:rPr>
          <w:rFonts w:ascii="Arial" w:hAnsi="Arial" w:cs="Arial"/>
          <w:bCs/>
          <w:i/>
          <w:iCs/>
          <w:vertAlign w:val="superscript"/>
          <w:lang w:val="en-US"/>
        </w:rPr>
        <w:t>-/-</w:t>
      </w:r>
      <w:r w:rsidRPr="007517E0">
        <w:rPr>
          <w:rFonts w:ascii="Arial" w:hAnsi="Arial" w:cs="Arial"/>
          <w:bCs/>
          <w:iCs/>
          <w:lang w:val="en-US"/>
        </w:rPr>
        <w:t xml:space="preserve"> mice normalized to </w:t>
      </w:r>
      <w:r w:rsidRPr="007517E0">
        <w:rPr>
          <w:rFonts w:ascii="Arial" w:hAnsi="Arial" w:cs="Arial"/>
          <w:bCs/>
          <w:i/>
          <w:lang w:val="en-US"/>
        </w:rPr>
        <w:t>Rnaset2</w:t>
      </w:r>
      <w:r w:rsidRPr="007517E0">
        <w:rPr>
          <w:rFonts w:ascii="Arial" w:hAnsi="Arial" w:cs="Arial"/>
          <w:bCs/>
          <w:i/>
          <w:vertAlign w:val="superscript"/>
          <w:lang w:val="en-US"/>
        </w:rPr>
        <w:t>+/+</w:t>
      </w:r>
      <w:r w:rsidRPr="007517E0">
        <w:rPr>
          <w:rFonts w:ascii="Arial" w:hAnsi="Arial" w:cs="Arial"/>
          <w:bCs/>
          <w:iCs/>
          <w:lang w:val="en-US"/>
        </w:rPr>
        <w:t xml:space="preserve"> and a reference gene at three (A), six, 17, and 28 weeks of age (B). The panel demonstrates a consistent and broad ISG upregulation, indicative of a robust interferon signature in </w:t>
      </w:r>
      <w:r w:rsidRPr="007517E0">
        <w:rPr>
          <w:rFonts w:ascii="Arial" w:hAnsi="Arial" w:cs="Arial"/>
          <w:bCs/>
          <w:i/>
          <w:lang w:val="en-US"/>
        </w:rPr>
        <w:t>Rnaset2</w:t>
      </w:r>
      <w:r w:rsidRPr="007517E0">
        <w:rPr>
          <w:rFonts w:ascii="Arial" w:hAnsi="Arial" w:cs="Arial"/>
          <w:bCs/>
          <w:i/>
          <w:vertAlign w:val="superscript"/>
          <w:lang w:val="en-US"/>
        </w:rPr>
        <w:t>-/-</w:t>
      </w:r>
      <w:r w:rsidRPr="007517E0">
        <w:rPr>
          <w:rFonts w:ascii="Arial" w:hAnsi="Arial" w:cs="Arial"/>
          <w:bCs/>
          <w:iCs/>
          <w:lang w:val="en-US"/>
        </w:rPr>
        <w:t xml:space="preserve"> brains (A-B). Data are shown as scatter dot plots with mean ± SEM. One-way ANOVA with Tukey’s multiple comparison test; </w:t>
      </w:r>
      <w:r w:rsidRPr="007517E0">
        <w:rPr>
          <w:rFonts w:ascii="Segoe UI Symbol" w:hAnsi="Segoe UI Symbol" w:cs="Segoe UI Symbol"/>
          <w:bCs/>
          <w:iCs/>
          <w:vertAlign w:val="superscript"/>
          <w:lang w:val="en-US"/>
        </w:rPr>
        <w:t>✱</w:t>
      </w:r>
      <w:r w:rsidRPr="007517E0">
        <w:rPr>
          <w:rFonts w:ascii="Arial" w:hAnsi="Arial" w:cs="Arial"/>
          <w:bCs/>
          <w:iCs/>
          <w:vertAlign w:val="superscript"/>
          <w:lang w:val="en-US"/>
        </w:rPr>
        <w:t xml:space="preserve"> </w:t>
      </w:r>
      <w:r w:rsidRPr="007517E0">
        <w:rPr>
          <w:rFonts w:ascii="Arial" w:hAnsi="Arial" w:cs="Arial"/>
          <w:bCs/>
          <w:iCs/>
          <w:lang w:val="en-US"/>
        </w:rPr>
        <w:t xml:space="preserve">= </w:t>
      </w:r>
      <w:r w:rsidRPr="007517E0">
        <w:rPr>
          <w:rFonts w:ascii="Arial" w:hAnsi="Arial" w:cs="Arial"/>
          <w:bCs/>
          <w:lang w:val="en-US"/>
        </w:rPr>
        <w:t>p &lt; 0.05</w:t>
      </w:r>
      <w:r w:rsidRPr="007517E0">
        <w:rPr>
          <w:rFonts w:ascii="Arial" w:hAnsi="Arial" w:cs="Arial"/>
          <w:bCs/>
          <w:iCs/>
          <w:lang w:val="en-US"/>
        </w:rPr>
        <w:t xml:space="preserve">, </w:t>
      </w:r>
      <w:r w:rsidRPr="007517E0">
        <w:rPr>
          <w:rFonts w:ascii="Segoe UI Symbol" w:hAnsi="Segoe UI Symbol" w:cs="Segoe UI Symbol"/>
          <w:bCs/>
          <w:iCs/>
          <w:vertAlign w:val="superscript"/>
          <w:lang w:val="en-US"/>
        </w:rPr>
        <w:t>✱✱</w:t>
      </w:r>
      <w:r w:rsidRPr="007517E0">
        <w:rPr>
          <w:rFonts w:ascii="Arial" w:hAnsi="Arial" w:cs="Arial"/>
          <w:bCs/>
          <w:iCs/>
          <w:lang w:val="en-US"/>
        </w:rPr>
        <w:t xml:space="preserve"> = </w:t>
      </w:r>
      <w:r w:rsidRPr="007517E0">
        <w:rPr>
          <w:rFonts w:ascii="Arial" w:hAnsi="Arial" w:cs="Arial"/>
          <w:bCs/>
          <w:lang w:val="en-US"/>
        </w:rPr>
        <w:t>p &lt; 0.01</w:t>
      </w:r>
      <w:r w:rsidRPr="007517E0">
        <w:rPr>
          <w:rFonts w:ascii="Arial" w:hAnsi="Arial" w:cs="Arial"/>
          <w:bCs/>
          <w:iCs/>
          <w:lang w:val="en-US"/>
        </w:rPr>
        <w:t xml:space="preserve">, </w:t>
      </w:r>
      <w:r w:rsidRPr="007517E0">
        <w:rPr>
          <w:rFonts w:ascii="Segoe UI Symbol" w:hAnsi="Segoe UI Symbol" w:cs="Segoe UI Symbol"/>
          <w:bCs/>
          <w:iCs/>
          <w:vertAlign w:val="superscript"/>
          <w:lang w:val="en-US"/>
        </w:rPr>
        <w:t>✱✱✱</w:t>
      </w:r>
      <w:r w:rsidRPr="007517E0">
        <w:rPr>
          <w:rFonts w:ascii="Arial" w:hAnsi="Arial" w:cs="Arial"/>
          <w:bCs/>
          <w:iCs/>
          <w:lang w:val="en-US"/>
        </w:rPr>
        <w:t xml:space="preserve"> = </w:t>
      </w:r>
      <w:r w:rsidRPr="007517E0">
        <w:rPr>
          <w:rFonts w:ascii="Arial" w:hAnsi="Arial" w:cs="Arial"/>
          <w:bCs/>
          <w:lang w:val="en-US"/>
        </w:rPr>
        <w:t>p &lt; 0.001</w:t>
      </w:r>
      <w:r w:rsidRPr="007517E0">
        <w:rPr>
          <w:rFonts w:ascii="Arial" w:hAnsi="Arial" w:cs="Arial"/>
          <w:bCs/>
          <w:iCs/>
          <w:lang w:val="en-US"/>
        </w:rPr>
        <w:t xml:space="preserve">, </w:t>
      </w:r>
      <w:r w:rsidRPr="007517E0">
        <w:rPr>
          <w:rFonts w:ascii="Segoe UI Symbol" w:hAnsi="Segoe UI Symbol" w:cs="Segoe UI Symbol"/>
          <w:bCs/>
          <w:iCs/>
          <w:vertAlign w:val="superscript"/>
          <w:lang w:val="en-US"/>
        </w:rPr>
        <w:t>✱✱✱✱</w:t>
      </w:r>
      <w:r w:rsidRPr="007517E0">
        <w:rPr>
          <w:rFonts w:ascii="Arial" w:hAnsi="Arial" w:cs="Arial"/>
          <w:bCs/>
          <w:iCs/>
          <w:lang w:val="en-US"/>
        </w:rPr>
        <w:t xml:space="preserve"> = </w:t>
      </w:r>
      <w:r w:rsidRPr="007517E0">
        <w:rPr>
          <w:rFonts w:ascii="Arial" w:hAnsi="Arial" w:cs="Arial"/>
          <w:bCs/>
          <w:lang w:val="en-US"/>
        </w:rPr>
        <w:t>p &lt; 0.0001</w:t>
      </w:r>
      <w:r w:rsidRPr="007517E0">
        <w:rPr>
          <w:rFonts w:ascii="Arial" w:hAnsi="Arial" w:cs="Arial"/>
          <w:bCs/>
          <w:iCs/>
          <w:lang w:val="en-US"/>
        </w:rPr>
        <w:t>, ns = not significant.</w:t>
      </w:r>
      <w:r w:rsidRPr="007517E0">
        <w:rPr>
          <w:rFonts w:ascii="Arial" w:hAnsi="Arial" w:cs="Arial"/>
          <w:i/>
          <w:lang w:val="en-GB"/>
        </w:rPr>
        <w:t xml:space="preserve"> n=</w:t>
      </w:r>
      <w:r w:rsidRPr="007517E0">
        <w:rPr>
          <w:rFonts w:ascii="Arial" w:hAnsi="Arial" w:cs="Arial"/>
          <w:iCs/>
          <w:lang w:val="en-GB"/>
        </w:rPr>
        <w:t>2 per group</w:t>
      </w:r>
      <w:r w:rsidRPr="007517E0">
        <w:rPr>
          <w:rFonts w:ascii="Arial" w:hAnsi="Arial" w:cs="Arial"/>
          <w:i/>
          <w:lang w:val="en-GB"/>
        </w:rPr>
        <w:t xml:space="preserve"> </w:t>
      </w:r>
      <w:r w:rsidRPr="007517E0">
        <w:rPr>
          <w:rFonts w:ascii="Arial" w:hAnsi="Arial" w:cs="Arial"/>
          <w:iCs/>
          <w:lang w:val="en-GB"/>
        </w:rPr>
        <w:t xml:space="preserve">for three weeks; </w:t>
      </w:r>
      <w:r w:rsidRPr="007517E0">
        <w:rPr>
          <w:rFonts w:ascii="Arial" w:hAnsi="Arial" w:cs="Arial"/>
          <w:i/>
          <w:iCs/>
          <w:lang w:val="en-GB"/>
        </w:rPr>
        <w:t>n=4</w:t>
      </w:r>
      <w:r w:rsidRPr="007517E0">
        <w:rPr>
          <w:rFonts w:ascii="Arial" w:hAnsi="Arial" w:cs="Arial"/>
          <w:lang w:val="en-GB"/>
        </w:rPr>
        <w:t xml:space="preserve"> per group for six, 17 and 28 weeks (except for </w:t>
      </w:r>
      <w:r w:rsidRPr="007517E0">
        <w:rPr>
          <w:rFonts w:ascii="Arial" w:hAnsi="Arial" w:cs="Arial"/>
          <w:i/>
          <w:iCs/>
          <w:lang w:val="en-GB"/>
        </w:rPr>
        <w:t>Siglec1</w:t>
      </w:r>
      <w:r w:rsidRPr="007517E0">
        <w:rPr>
          <w:rFonts w:ascii="Arial" w:hAnsi="Arial" w:cs="Arial"/>
          <w:lang w:val="en-GB"/>
        </w:rPr>
        <w:t xml:space="preserve"> at 17 weeks, </w:t>
      </w:r>
      <w:r w:rsidRPr="007517E0">
        <w:rPr>
          <w:rFonts w:ascii="Arial" w:hAnsi="Arial" w:cs="Arial"/>
          <w:i/>
          <w:iCs/>
          <w:lang w:val="en-GB"/>
        </w:rPr>
        <w:t>n=3</w:t>
      </w:r>
      <w:r w:rsidRPr="007517E0">
        <w:rPr>
          <w:rFonts w:ascii="Arial" w:hAnsi="Arial" w:cs="Arial"/>
          <w:lang w:val="en-GB"/>
        </w:rPr>
        <w:t xml:space="preserve">). </w:t>
      </w:r>
      <w:r w:rsidRPr="007517E0">
        <w:rPr>
          <w:rFonts w:ascii="Arial" w:hAnsi="Arial" w:cs="Arial"/>
          <w:i/>
          <w:iCs/>
          <w:lang w:val="en-US"/>
        </w:rPr>
        <w:t>Ifi27l2a</w:t>
      </w:r>
      <w:r w:rsidRPr="007517E0">
        <w:rPr>
          <w:rFonts w:ascii="Arial" w:hAnsi="Arial" w:cs="Arial"/>
          <w:lang w:val="en-US"/>
        </w:rPr>
        <w:t xml:space="preserve">: </w:t>
      </w:r>
      <w:r w:rsidRPr="007517E0">
        <w:rPr>
          <w:rFonts w:ascii="Arial" w:hAnsi="Arial" w:cs="Arial"/>
          <w:i/>
          <w:iCs/>
          <w:lang w:val="en-US"/>
        </w:rPr>
        <w:t>interferon alpha-inducible protein 27-like 2A (human ortholog: IFI27)</w:t>
      </w:r>
      <w:r w:rsidRPr="007517E0">
        <w:rPr>
          <w:rFonts w:ascii="Arial" w:hAnsi="Arial" w:cs="Arial"/>
          <w:lang w:val="en-US"/>
        </w:rPr>
        <w:t xml:space="preserve">; </w:t>
      </w:r>
      <w:r w:rsidRPr="007517E0">
        <w:rPr>
          <w:rFonts w:ascii="Arial" w:hAnsi="Arial" w:cs="Arial"/>
          <w:i/>
          <w:iCs/>
          <w:lang w:val="en-US"/>
        </w:rPr>
        <w:t>Ifi44: interferon-induced protein 44</w:t>
      </w:r>
      <w:r w:rsidRPr="007517E0">
        <w:rPr>
          <w:rFonts w:ascii="Arial" w:hAnsi="Arial" w:cs="Arial"/>
          <w:lang w:val="en-US"/>
        </w:rPr>
        <w:t xml:space="preserve">; </w:t>
      </w:r>
      <w:r w:rsidRPr="007517E0">
        <w:rPr>
          <w:rFonts w:ascii="Arial" w:hAnsi="Arial" w:cs="Arial"/>
          <w:i/>
          <w:iCs/>
          <w:lang w:val="en-US"/>
        </w:rPr>
        <w:t>Ifit1:</w:t>
      </w:r>
      <w:r w:rsidRPr="007517E0">
        <w:rPr>
          <w:rFonts w:ascii="Arial" w:hAnsi="Arial" w:cs="Arial"/>
          <w:b/>
          <w:bCs/>
          <w:lang w:val="en-US"/>
        </w:rPr>
        <w:t xml:space="preserve"> </w:t>
      </w:r>
      <w:r w:rsidRPr="007517E0">
        <w:rPr>
          <w:rFonts w:ascii="Arial" w:hAnsi="Arial" w:cs="Arial"/>
          <w:i/>
          <w:iCs/>
          <w:lang w:val="en-US"/>
        </w:rPr>
        <w:t>interferon-induced protein with tetratricopeptide repeats 1</w:t>
      </w:r>
      <w:r w:rsidRPr="007517E0">
        <w:rPr>
          <w:rFonts w:ascii="Arial" w:hAnsi="Arial" w:cs="Arial"/>
          <w:lang w:val="en-US"/>
        </w:rPr>
        <w:t xml:space="preserve">; </w:t>
      </w:r>
      <w:r w:rsidRPr="007517E0">
        <w:rPr>
          <w:rFonts w:ascii="Arial" w:hAnsi="Arial" w:cs="Arial"/>
          <w:i/>
          <w:iCs/>
          <w:lang w:val="en-US"/>
        </w:rPr>
        <w:t>Isg15:</w:t>
      </w:r>
      <w:r w:rsidRPr="007517E0">
        <w:rPr>
          <w:rFonts w:ascii="Arial" w:hAnsi="Arial" w:cs="Arial"/>
          <w:lang w:val="en-US"/>
        </w:rPr>
        <w:t xml:space="preserve"> </w:t>
      </w:r>
      <w:r w:rsidRPr="007517E0">
        <w:rPr>
          <w:rFonts w:ascii="Arial" w:hAnsi="Arial" w:cs="Arial"/>
          <w:i/>
          <w:iCs/>
          <w:lang w:val="en-US"/>
        </w:rPr>
        <w:t>interferon-stimulated gene 15</w:t>
      </w:r>
      <w:r w:rsidRPr="007517E0">
        <w:rPr>
          <w:rFonts w:ascii="Arial" w:hAnsi="Arial" w:cs="Arial"/>
          <w:lang w:val="en-US"/>
        </w:rPr>
        <w:t xml:space="preserve">; </w:t>
      </w:r>
      <w:r w:rsidRPr="007517E0">
        <w:rPr>
          <w:rFonts w:ascii="Arial" w:hAnsi="Arial" w:cs="Arial"/>
          <w:i/>
          <w:iCs/>
          <w:lang w:val="en-US"/>
        </w:rPr>
        <w:t>Rsad2: radical S-adenosyl methionine domain containing 2</w:t>
      </w:r>
      <w:r w:rsidRPr="007517E0">
        <w:rPr>
          <w:rFonts w:ascii="Arial" w:hAnsi="Arial" w:cs="Arial"/>
          <w:lang w:val="en-US"/>
        </w:rPr>
        <w:t xml:space="preserve">; </w:t>
      </w:r>
      <w:r w:rsidRPr="007517E0">
        <w:rPr>
          <w:rFonts w:ascii="Arial" w:hAnsi="Arial" w:cs="Arial"/>
          <w:i/>
          <w:iCs/>
          <w:lang w:val="en-US"/>
        </w:rPr>
        <w:t>Siglec1</w:t>
      </w:r>
      <w:r w:rsidRPr="007517E0">
        <w:rPr>
          <w:rFonts w:ascii="Arial" w:hAnsi="Arial" w:cs="Arial"/>
          <w:lang w:val="en-US"/>
        </w:rPr>
        <w:t xml:space="preserve">: </w:t>
      </w:r>
      <w:r w:rsidRPr="007517E0">
        <w:rPr>
          <w:rFonts w:ascii="Arial" w:hAnsi="Arial" w:cs="Arial"/>
          <w:i/>
          <w:iCs/>
          <w:lang w:val="en-US"/>
        </w:rPr>
        <w:t>sialic acid binding Ig-like lectin 1.</w:t>
      </w:r>
    </w:p>
    <w:p w14:paraId="304B9D96" w14:textId="77777777" w:rsidR="005C78B8" w:rsidRPr="007517E0" w:rsidRDefault="005C78B8" w:rsidP="005C78B8">
      <w:pPr>
        <w:pStyle w:val="NormalWeb"/>
        <w:spacing w:line="480" w:lineRule="auto"/>
        <w:jc w:val="both"/>
        <w:rPr>
          <w:rFonts w:ascii="Arial" w:hAnsi="Arial" w:cs="Arial"/>
          <w:lang w:val="en-US"/>
        </w:rPr>
      </w:pPr>
      <w:r w:rsidRPr="007517E0">
        <w:rPr>
          <w:rFonts w:ascii="Arial" w:hAnsi="Arial" w:cs="Arial"/>
          <w:bCs/>
          <w:iCs/>
          <w:lang w:val="en-US"/>
        </w:rPr>
        <w:t xml:space="preserve">(C–F) Western blot analysis of apoptotic markers at three weeks. BAX protein expression was comparable between genotypes, with one </w:t>
      </w:r>
      <w:r w:rsidRPr="007517E0">
        <w:rPr>
          <w:rFonts w:ascii="Arial" w:hAnsi="Arial" w:cs="Arial"/>
          <w:bCs/>
          <w:i/>
          <w:iCs/>
          <w:lang w:val="en-US"/>
        </w:rPr>
        <w:t>Rnaset2</w:t>
      </w:r>
      <w:r w:rsidRPr="007517E0">
        <w:rPr>
          <w:rFonts w:ascii="Arial" w:hAnsi="Arial" w:cs="Arial"/>
          <w:bCs/>
          <w:i/>
          <w:iCs/>
          <w:vertAlign w:val="superscript"/>
          <w:lang w:val="en-US"/>
        </w:rPr>
        <w:t>-/-</w:t>
      </w:r>
      <w:r w:rsidRPr="007517E0">
        <w:rPr>
          <w:rFonts w:ascii="Arial" w:hAnsi="Arial" w:cs="Arial"/>
          <w:bCs/>
          <w:iCs/>
          <w:vertAlign w:val="superscript"/>
          <w:lang w:val="en-US"/>
        </w:rPr>
        <w:t xml:space="preserve"> </w:t>
      </w:r>
      <w:r w:rsidRPr="007517E0">
        <w:rPr>
          <w:rFonts w:ascii="Arial" w:hAnsi="Arial" w:cs="Arial"/>
          <w:bCs/>
          <w:iCs/>
          <w:lang w:val="en-US"/>
        </w:rPr>
        <w:t xml:space="preserve">animal showing a minor increase (C). Cleaved CASPASE 3 (cl. CASP3) was undetectable in both genotypes. Caspase 3 control cell extracts (#9663, Cell Signaling Technology) were included as a positive control (D). No differences were observed in full-length PARP (E) or cleaved PARP (F). </w:t>
      </w:r>
      <w:r w:rsidRPr="007517E0">
        <w:rPr>
          <w:rFonts w:ascii="Arial" w:hAnsi="Arial" w:cs="Arial"/>
          <w:bCs/>
          <w:iCs/>
        </w:rPr>
        <w:t>β</w:t>
      </w:r>
      <w:r w:rsidRPr="007517E0">
        <w:rPr>
          <w:rFonts w:ascii="Arial" w:hAnsi="Arial" w:cs="Arial"/>
          <w:bCs/>
          <w:iCs/>
          <w:lang w:val="en-US"/>
        </w:rPr>
        <w:t>-ACTIN or GAPDH served as loading controls.</w:t>
      </w:r>
      <w:r w:rsidRPr="007517E0">
        <w:rPr>
          <w:rFonts w:ascii="Arial" w:hAnsi="Arial" w:cs="Arial"/>
          <w:lang w:val="en-GB"/>
        </w:rPr>
        <w:t xml:space="preserve"> WT1-2: </w:t>
      </w:r>
      <w:r w:rsidRPr="007517E0">
        <w:rPr>
          <w:rFonts w:ascii="Arial" w:hAnsi="Arial" w:cs="Arial"/>
          <w:i/>
          <w:iCs/>
          <w:lang w:val="en-GB"/>
        </w:rPr>
        <w:t>Rnaset2</w:t>
      </w:r>
      <w:r w:rsidRPr="007517E0">
        <w:rPr>
          <w:rFonts w:ascii="Arial" w:hAnsi="Arial" w:cs="Arial"/>
          <w:i/>
          <w:iCs/>
          <w:vertAlign w:val="superscript"/>
          <w:lang w:val="en-GB"/>
        </w:rPr>
        <w:t>+/+</w:t>
      </w:r>
      <w:r w:rsidRPr="007517E0">
        <w:rPr>
          <w:rFonts w:ascii="Arial" w:hAnsi="Arial" w:cs="Arial"/>
          <w:vertAlign w:val="superscript"/>
          <w:lang w:val="en-GB"/>
        </w:rPr>
        <w:t xml:space="preserve">, </w:t>
      </w:r>
      <w:r w:rsidRPr="007517E0">
        <w:rPr>
          <w:rFonts w:ascii="Arial" w:hAnsi="Arial" w:cs="Arial"/>
          <w:bCs/>
          <w:iCs/>
          <w:lang w:val="en-GB"/>
        </w:rPr>
        <w:t xml:space="preserve">KO1-2: </w:t>
      </w:r>
      <w:r w:rsidRPr="007517E0">
        <w:rPr>
          <w:rFonts w:ascii="Arial" w:hAnsi="Arial" w:cs="Arial"/>
          <w:bCs/>
          <w:i/>
          <w:lang w:val="en-GB"/>
        </w:rPr>
        <w:t>Rnaset2</w:t>
      </w:r>
      <w:r w:rsidRPr="007517E0">
        <w:rPr>
          <w:rFonts w:ascii="Arial" w:hAnsi="Arial" w:cs="Arial"/>
          <w:bCs/>
          <w:i/>
          <w:vertAlign w:val="superscript"/>
          <w:lang w:val="en-GB"/>
        </w:rPr>
        <w:t>-/-</w:t>
      </w:r>
      <w:r w:rsidRPr="007517E0">
        <w:rPr>
          <w:rFonts w:ascii="Arial" w:hAnsi="Arial" w:cs="Arial"/>
          <w:bCs/>
          <w:iCs/>
          <w:lang w:val="en-GB"/>
        </w:rPr>
        <w:t>.</w:t>
      </w:r>
      <w:r w:rsidRPr="007517E0">
        <w:rPr>
          <w:rFonts w:ascii="Arial" w:hAnsi="Arial" w:cs="Arial"/>
          <w:b/>
          <w:bCs/>
          <w:lang w:val="en-US"/>
        </w:rPr>
        <w:t xml:space="preserve"> </w:t>
      </w:r>
      <w:r w:rsidRPr="007517E0">
        <w:rPr>
          <w:rFonts w:ascii="Arial" w:hAnsi="Arial" w:cs="Arial"/>
          <w:lang w:val="en-US"/>
        </w:rPr>
        <w:t>BAX</w:t>
      </w:r>
      <w:r w:rsidRPr="007517E0">
        <w:rPr>
          <w:rFonts w:ascii="Arial" w:hAnsi="Arial" w:cs="Arial"/>
          <w:i/>
          <w:iCs/>
          <w:lang w:val="en-US"/>
        </w:rPr>
        <w:t>:</w:t>
      </w:r>
      <w:r w:rsidRPr="007517E0">
        <w:rPr>
          <w:rFonts w:ascii="Arial" w:hAnsi="Arial" w:cs="Arial"/>
          <w:lang w:val="en-US"/>
        </w:rPr>
        <w:t xml:space="preserve"> Bcl-2-associated X protein; cl. CASP3: cleaved caspase-3; PARP: poly(ADP-ribose) polymerase 1; cl. PARP: cleaved poly(ADP-ribose) polymerase 1.</w:t>
      </w:r>
    </w:p>
    <w:p w14:paraId="5FE94EF1" w14:textId="77777777" w:rsidR="005C78B8" w:rsidRDefault="005C78B8" w:rsidP="005C78B8">
      <w:pPr>
        <w:pStyle w:val="NormalWeb"/>
        <w:spacing w:line="480" w:lineRule="auto"/>
        <w:jc w:val="both"/>
        <w:rPr>
          <w:rFonts w:ascii="Arial" w:hAnsi="Arial" w:cs="Arial"/>
          <w:b/>
          <w:lang w:val="en-GB"/>
        </w:rPr>
      </w:pPr>
    </w:p>
    <w:p w14:paraId="14867062" w14:textId="77777777" w:rsidR="005C78B8" w:rsidRDefault="005C78B8" w:rsidP="005C78B8">
      <w:pPr>
        <w:pStyle w:val="NormalWeb"/>
        <w:spacing w:line="480" w:lineRule="auto"/>
        <w:jc w:val="both"/>
        <w:rPr>
          <w:rFonts w:ascii="Arial" w:hAnsi="Arial" w:cs="Arial"/>
          <w:b/>
          <w:lang w:val="en-GB"/>
        </w:rPr>
      </w:pPr>
    </w:p>
    <w:sectPr w:rsidR="005C78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B8"/>
    <w:rsid w:val="00042EEE"/>
    <w:rsid w:val="001713FF"/>
    <w:rsid w:val="00454AE4"/>
    <w:rsid w:val="005C78B8"/>
    <w:rsid w:val="006F7201"/>
    <w:rsid w:val="00734931"/>
    <w:rsid w:val="00931AD9"/>
    <w:rsid w:val="00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FE0D"/>
  <w15:chartTrackingRefBased/>
  <w15:docId w15:val="{A5F1008A-C719-484D-B0C1-A8EDB8A2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78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78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78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78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78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78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78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78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78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78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78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78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78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78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78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78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78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78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78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78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78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78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78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78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78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78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78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78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78B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5C7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Wendland</dc:creator>
  <cp:keywords/>
  <dc:description/>
  <cp:lastModifiedBy>Kristin Wendland</cp:lastModifiedBy>
  <cp:revision>2</cp:revision>
  <dcterms:created xsi:type="dcterms:W3CDTF">2025-11-25T08:23:00Z</dcterms:created>
  <dcterms:modified xsi:type="dcterms:W3CDTF">2025-11-25T08:23:00Z</dcterms:modified>
</cp:coreProperties>
</file>