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BAAE300" w14:textId="45D350EA" w:rsidR="0087065C" w:rsidRPr="0087065C" w:rsidRDefault="0087065C">
      <w:pPr>
        <w:spacing w:line="240" w:lineRule="auto"/>
        <w:rPr>
          <w:b/>
          <w:bCs/>
          <w:sz w:val="22"/>
          <w:szCs w:val="22"/>
          <w:lang w:val="en-US"/>
        </w:rPr>
      </w:pPr>
      <w:r w:rsidRPr="0087065C">
        <w:rPr>
          <w:b/>
          <w:bCs/>
          <w:sz w:val="22"/>
          <w:szCs w:val="22"/>
          <w:lang w:val="en-US"/>
        </w:rPr>
        <w:t>Supplementary figures</w:t>
      </w:r>
    </w:p>
    <w:p w14:paraId="56D3F9A6" w14:textId="77777777" w:rsidR="0087065C" w:rsidRDefault="0087065C">
      <w:pPr>
        <w:spacing w:line="240" w:lineRule="auto"/>
        <w:rPr>
          <w:sz w:val="22"/>
          <w:szCs w:val="22"/>
          <w:lang w:val="en-US"/>
        </w:rPr>
      </w:pPr>
    </w:p>
    <w:p w14:paraId="14B8713A" w14:textId="3935AFED" w:rsidR="007A1E31" w:rsidRPr="00CC3DB5" w:rsidRDefault="0027585C">
      <w:pPr>
        <w:spacing w:line="240" w:lineRule="auto"/>
        <w:rPr>
          <w:sz w:val="22"/>
          <w:szCs w:val="22"/>
          <w:lang w:val="en-US"/>
        </w:rPr>
      </w:pPr>
      <w:r w:rsidRPr="00CC3DB5">
        <w:rPr>
          <w:noProof/>
          <w:sz w:val="22"/>
          <w:szCs w:val="22"/>
          <w:lang w:eastAsia="en-GB"/>
        </w:rPr>
        <w:drawing>
          <wp:inline distT="0" distB="0" distL="0" distR="0" wp14:anchorId="43371A7D" wp14:editId="34001676">
            <wp:extent cx="5762625" cy="7613015"/>
            <wp:effectExtent l="0" t="0" r="9525" b="698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2625" cy="7613015"/>
                    </a:xfrm>
                    <a:prstGeom prst="rect">
                      <a:avLst/>
                    </a:prstGeom>
                    <a:noFill/>
                    <a:ln>
                      <a:noFill/>
                    </a:ln>
                  </pic:spPr>
                </pic:pic>
              </a:graphicData>
            </a:graphic>
          </wp:inline>
        </w:drawing>
      </w:r>
    </w:p>
    <w:p w14:paraId="5EE8AF76" w14:textId="5A80D8A1" w:rsidR="000251B7" w:rsidRPr="00CC3DB5" w:rsidRDefault="7AA29AA8" w:rsidP="00CD4756">
      <w:pPr>
        <w:spacing w:line="240" w:lineRule="auto"/>
        <w:jc w:val="both"/>
      </w:pPr>
      <w:r w:rsidRPr="7AA29AA8">
        <w:rPr>
          <w:b/>
          <w:bCs/>
          <w:sz w:val="22"/>
          <w:szCs w:val="22"/>
          <w:lang w:val="en-US"/>
        </w:rPr>
        <w:t>Supplementary figure</w:t>
      </w:r>
      <w:r w:rsidR="00F018BD">
        <w:rPr>
          <w:b/>
          <w:bCs/>
          <w:sz w:val="22"/>
          <w:szCs w:val="22"/>
          <w:lang w:val="en-US"/>
        </w:rPr>
        <w:t xml:space="preserve"> </w:t>
      </w:r>
      <w:r w:rsidRPr="7AA29AA8">
        <w:rPr>
          <w:b/>
          <w:bCs/>
          <w:sz w:val="22"/>
          <w:szCs w:val="22"/>
          <w:lang w:val="en-US"/>
        </w:rPr>
        <w:t>1.</w:t>
      </w:r>
      <w:r w:rsidRPr="7AA29AA8">
        <w:rPr>
          <w:sz w:val="22"/>
          <w:szCs w:val="22"/>
          <w:lang w:val="en-US"/>
        </w:rPr>
        <w:t xml:space="preserve"> </w:t>
      </w:r>
      <w:r w:rsidRPr="7AA29AA8">
        <w:rPr>
          <w:b/>
          <w:bCs/>
          <w:sz w:val="22"/>
          <w:szCs w:val="22"/>
          <w:lang w:val="en-US"/>
        </w:rPr>
        <w:t>Different levels of molecular and electrical coupling exist between IHCs.</w:t>
      </w:r>
      <w:r w:rsidRPr="7AA29AA8">
        <w:rPr>
          <w:sz w:val="22"/>
          <w:szCs w:val="22"/>
          <w:lang w:val="en-US"/>
        </w:rPr>
        <w:t xml:space="preserve"> </w:t>
      </w:r>
      <w:r w:rsidRPr="7AA29AA8">
        <w:rPr>
          <w:b/>
          <w:bCs/>
          <w:sz w:val="22"/>
          <w:szCs w:val="22"/>
          <w:lang w:val="en-US"/>
        </w:rPr>
        <w:t xml:space="preserve">(a) </w:t>
      </w:r>
      <w:r w:rsidRPr="7AA29AA8">
        <w:rPr>
          <w:sz w:val="22"/>
          <w:szCs w:val="22"/>
          <w:lang w:val="en-US"/>
        </w:rPr>
        <w:t>Time series of fluorescently labeled glucose loading in a single,</w:t>
      </w:r>
      <w:r w:rsidRPr="7AA29AA8">
        <w:rPr>
          <w:sz w:val="22"/>
          <w:szCs w:val="22"/>
        </w:rPr>
        <w:t xml:space="preserve"> non-coupled</w:t>
      </w:r>
      <w:r w:rsidRPr="7AA29AA8">
        <w:rPr>
          <w:sz w:val="22"/>
          <w:szCs w:val="22"/>
          <w:lang w:val="en-US"/>
        </w:rPr>
        <w:t xml:space="preserve"> IHC (C0, no spread to other IHCs) and coupled IHC (C1) that shared glucose with the coupled IHC (C2). </w:t>
      </w:r>
      <w:r w:rsidRPr="7AA29AA8">
        <w:rPr>
          <w:b/>
          <w:bCs/>
          <w:sz w:val="22"/>
          <w:szCs w:val="22"/>
          <w:lang w:val="en-US"/>
        </w:rPr>
        <w:t>(b)</w:t>
      </w:r>
      <w:r w:rsidRPr="7AA29AA8">
        <w:rPr>
          <w:sz w:val="22"/>
          <w:szCs w:val="22"/>
          <w:lang w:val="en-US"/>
        </w:rPr>
        <w:t xml:space="preserve"> Time series of the Alexa 488-IgG loading among 7 coupled IHCs. The patched IHC is delineated in red. </w:t>
      </w:r>
      <w:r w:rsidRPr="7AA29AA8">
        <w:rPr>
          <w:b/>
          <w:bCs/>
          <w:sz w:val="22"/>
          <w:szCs w:val="22"/>
          <w:lang w:val="en-US"/>
        </w:rPr>
        <w:t>(c)</w:t>
      </w:r>
      <w:r w:rsidRPr="7AA29AA8">
        <w:rPr>
          <w:sz w:val="22"/>
          <w:szCs w:val="22"/>
          <w:lang w:val="en-US"/>
        </w:rPr>
        <w:t xml:space="preserve"> The pictures illustrate the TAMRA-peptide loading of four different pairs of IHCs. </w:t>
      </w:r>
      <w:r w:rsidRPr="7AA29AA8">
        <w:rPr>
          <w:b/>
          <w:bCs/>
          <w:sz w:val="22"/>
          <w:szCs w:val="22"/>
          <w:lang w:val="en-US"/>
        </w:rPr>
        <w:t>(c’)</w:t>
      </w:r>
      <w:r w:rsidRPr="7AA29AA8">
        <w:rPr>
          <w:sz w:val="22"/>
          <w:szCs w:val="22"/>
          <w:lang w:val="en-US"/>
        </w:rPr>
        <w:t xml:space="preserve"> Mean fluorescence intensities of the patched IHCs (solid line) and their coupled IHCs (dashed line) over time from the loadings in (b). The fluorescence is normalized to the maximal fluorescence of the </w:t>
      </w:r>
      <w:r w:rsidRPr="7AA29AA8">
        <w:rPr>
          <w:sz w:val="22"/>
          <w:szCs w:val="22"/>
          <w:lang w:val="en-US"/>
        </w:rPr>
        <w:lastRenderedPageBreak/>
        <w:t xml:space="preserve">patched cell (line). </w:t>
      </w:r>
      <w:r w:rsidRPr="7AA29AA8">
        <w:rPr>
          <w:b/>
          <w:bCs/>
          <w:sz w:val="22"/>
          <w:szCs w:val="22"/>
          <w:lang w:val="en-US"/>
        </w:rPr>
        <w:t xml:space="preserve">(d) </w:t>
      </w:r>
      <w:r w:rsidRPr="7AA29AA8">
        <w:rPr>
          <w:sz w:val="22"/>
          <w:szCs w:val="22"/>
          <w:lang w:val="en-US"/>
        </w:rPr>
        <w:t>Example picture of a strong IHC-IHC coupling where the F4FF and TAMRA peptide are equally loaded in both coupled IHCs after 5 min, resulting in a monophasic activation of the whole-cell Ca</w:t>
      </w:r>
      <w:r w:rsidRPr="7AA29AA8">
        <w:rPr>
          <w:sz w:val="22"/>
          <w:szCs w:val="22"/>
          <w:vertAlign w:val="superscript"/>
          <w:lang w:val="en-US"/>
        </w:rPr>
        <w:t>2+</w:t>
      </w:r>
      <w:r w:rsidRPr="7AA29AA8">
        <w:rPr>
          <w:sz w:val="22"/>
          <w:szCs w:val="22"/>
          <w:lang w:val="en-US"/>
        </w:rPr>
        <w:t>-current from depolarization steps.</w:t>
      </w:r>
      <w:r w:rsidRPr="7AA29AA8">
        <w:rPr>
          <w:b/>
          <w:bCs/>
          <w:sz w:val="22"/>
          <w:szCs w:val="22"/>
          <w:lang w:val="en-US"/>
        </w:rPr>
        <w:t xml:space="preserve"> (d’)</w:t>
      </w:r>
      <w:r w:rsidRPr="7AA29AA8">
        <w:rPr>
          <w:sz w:val="22"/>
          <w:szCs w:val="22"/>
          <w:lang w:val="en-US"/>
        </w:rPr>
        <w:t xml:space="preserve"> The weak IHC-IHC coupling example shows much weaker intensities for F4FF and TAMRA in the non-patched cell, with a whole-cell Ca</w:t>
      </w:r>
      <w:r w:rsidRPr="7AA29AA8">
        <w:rPr>
          <w:sz w:val="22"/>
          <w:szCs w:val="22"/>
          <w:vertAlign w:val="superscript"/>
          <w:lang w:val="en-US"/>
        </w:rPr>
        <w:t>2+</w:t>
      </w:r>
      <w:r w:rsidRPr="7AA29AA8">
        <w:rPr>
          <w:sz w:val="22"/>
          <w:szCs w:val="22"/>
          <w:lang w:val="en-US"/>
        </w:rPr>
        <w:t xml:space="preserve">-current exhibiting multiple phases of activation. </w:t>
      </w:r>
      <w:r w:rsidRPr="7AA29AA8">
        <w:rPr>
          <w:b/>
          <w:bCs/>
          <w:sz w:val="22"/>
          <w:szCs w:val="22"/>
          <w:lang w:val="en-US"/>
        </w:rPr>
        <w:t>(e-e’)</w:t>
      </w:r>
      <w:r w:rsidRPr="7AA29AA8">
        <w:rPr>
          <w:sz w:val="22"/>
          <w:szCs w:val="22"/>
          <w:lang w:val="en-US"/>
        </w:rPr>
        <w:t xml:space="preserve"> Scatter plot and line fits relating </w:t>
      </w:r>
      <w:proofErr w:type="spellStart"/>
      <w:r w:rsidRPr="7AA29AA8">
        <w:rPr>
          <w:sz w:val="22"/>
          <w:szCs w:val="22"/>
          <w:lang w:val="en-US"/>
        </w:rPr>
        <w:t>I</w:t>
      </w:r>
      <w:r w:rsidRPr="7AA29AA8">
        <w:rPr>
          <w:sz w:val="22"/>
          <w:szCs w:val="22"/>
          <w:vertAlign w:val="subscript"/>
          <w:lang w:val="en-US"/>
        </w:rPr>
        <w:t>CaMax</w:t>
      </w:r>
      <w:proofErr w:type="spellEnd"/>
      <w:r w:rsidRPr="7AA29AA8">
        <w:rPr>
          <w:sz w:val="22"/>
          <w:szCs w:val="22"/>
          <w:lang w:val="en-US"/>
        </w:rPr>
        <w:t xml:space="preserve"> (e) and </w:t>
      </w:r>
      <w:proofErr w:type="spellStart"/>
      <w:r w:rsidRPr="7AA29AA8">
        <w:rPr>
          <w:sz w:val="22"/>
          <w:szCs w:val="22"/>
          <w:lang w:val="en-US"/>
        </w:rPr>
        <w:t>I</w:t>
      </w:r>
      <w:r w:rsidRPr="7AA29AA8">
        <w:rPr>
          <w:sz w:val="22"/>
          <w:szCs w:val="22"/>
          <w:vertAlign w:val="subscript"/>
          <w:lang w:val="en-US"/>
        </w:rPr>
        <w:t>rest</w:t>
      </w:r>
      <w:proofErr w:type="spellEnd"/>
      <w:r w:rsidRPr="7AA29AA8">
        <w:rPr>
          <w:sz w:val="22"/>
          <w:szCs w:val="22"/>
          <w:lang w:val="en-US"/>
        </w:rPr>
        <w:t xml:space="preserve"> (e’) currents from step depolarizations against C</w:t>
      </w:r>
      <w:r w:rsidRPr="7AA29AA8">
        <w:rPr>
          <w:sz w:val="22"/>
          <w:szCs w:val="22"/>
          <w:vertAlign w:val="subscript"/>
          <w:lang w:val="en-US"/>
        </w:rPr>
        <w:t>m</w:t>
      </w:r>
      <w:r w:rsidRPr="7AA29AA8">
        <w:rPr>
          <w:sz w:val="22"/>
          <w:szCs w:val="22"/>
          <w:lang w:val="en-US"/>
        </w:rPr>
        <w:t xml:space="preserve"> values across all age groups from ruptured-patch experiments in 1.3,2 or 5 [Ca</w:t>
      </w:r>
      <w:r w:rsidRPr="7AA29AA8">
        <w:rPr>
          <w:sz w:val="22"/>
          <w:szCs w:val="22"/>
          <w:vertAlign w:val="superscript"/>
          <w:lang w:val="en-US"/>
        </w:rPr>
        <w:t>2</w:t>
      </w:r>
      <w:proofErr w:type="gramStart"/>
      <w:r w:rsidRPr="7AA29AA8">
        <w:rPr>
          <w:sz w:val="22"/>
          <w:szCs w:val="22"/>
          <w:vertAlign w:val="superscript"/>
          <w:lang w:val="en-US"/>
        </w:rPr>
        <w:t>+</w:t>
      </w:r>
      <w:r w:rsidRPr="7AA29AA8">
        <w:rPr>
          <w:sz w:val="22"/>
          <w:szCs w:val="22"/>
          <w:lang w:val="en-US"/>
        </w:rPr>
        <w:t>]</w:t>
      </w:r>
      <w:r w:rsidRPr="7AA29AA8">
        <w:rPr>
          <w:sz w:val="22"/>
          <w:szCs w:val="22"/>
          <w:vertAlign w:val="subscript"/>
          <w:lang w:val="en-US"/>
        </w:rPr>
        <w:t>e.</w:t>
      </w:r>
      <w:proofErr w:type="gramEnd"/>
      <w:r w:rsidRPr="7AA29AA8">
        <w:rPr>
          <w:sz w:val="22"/>
          <w:szCs w:val="22"/>
          <w:vertAlign w:val="subscript"/>
          <w:lang w:val="en-US"/>
        </w:rPr>
        <w:t xml:space="preserve"> </w:t>
      </w:r>
      <w:r w:rsidRPr="7AA29AA8">
        <w:rPr>
          <w:i/>
          <w:iCs/>
          <w:sz w:val="22"/>
          <w:szCs w:val="22"/>
          <w:lang w:val="en-US"/>
        </w:rPr>
        <w:t xml:space="preserve">Abbreviations: a. u., </w:t>
      </w:r>
      <w:r w:rsidRPr="7AA29AA8">
        <w:rPr>
          <w:sz w:val="22"/>
          <w:szCs w:val="22"/>
          <w:lang w:val="en-US"/>
        </w:rPr>
        <w:t xml:space="preserve">arbitrary units. </w:t>
      </w:r>
      <w:r w:rsidRPr="7AA29AA8">
        <w:rPr>
          <w:i/>
          <w:iCs/>
          <w:sz w:val="22"/>
          <w:szCs w:val="22"/>
          <w:lang w:val="en-US"/>
        </w:rPr>
        <w:t xml:space="preserve">Scale bars: </w:t>
      </w:r>
      <w:r w:rsidRPr="7AA29AA8">
        <w:rPr>
          <w:sz w:val="22"/>
          <w:szCs w:val="22"/>
          <w:lang w:val="en-US"/>
        </w:rPr>
        <w:t xml:space="preserve">5 µm. </w:t>
      </w:r>
    </w:p>
    <w:p w14:paraId="3F62168A" w14:textId="77777777" w:rsidR="5EE8AF76" w:rsidRPr="00CC3DB5" w:rsidRDefault="5EE8AF76" w:rsidP="00853297">
      <w:pPr>
        <w:spacing w:line="240" w:lineRule="auto"/>
        <w:jc w:val="both"/>
      </w:pPr>
    </w:p>
    <w:p w14:paraId="316AE440" w14:textId="16214472" w:rsidR="00A9621A" w:rsidRPr="00CC3DB5" w:rsidRDefault="000178C1" w:rsidP="7AA29AA8">
      <w:pPr>
        <w:spacing w:line="240" w:lineRule="auto"/>
        <w:jc w:val="both"/>
        <w:rPr>
          <w:sz w:val="22"/>
          <w:szCs w:val="22"/>
          <w:lang w:val="en-US"/>
        </w:rPr>
      </w:pPr>
      <w:r>
        <w:rPr>
          <w:noProof/>
          <w:lang w:eastAsia="en-GB"/>
        </w:rPr>
        <w:drawing>
          <wp:inline distT="0" distB="0" distL="0" distR="0" wp14:anchorId="218A2F00" wp14:editId="7254F263">
            <wp:extent cx="5762626" cy="6867524"/>
            <wp:effectExtent l="0" t="0" r="9525" b="9525"/>
            <wp:docPr id="68052105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2">
                      <a:extLst>
                        <a:ext uri="{28A0092B-C50C-407E-A947-70E740481C1C}">
                          <a14:useLocalDpi xmlns:a14="http://schemas.microsoft.com/office/drawing/2010/main" val="0"/>
                        </a:ext>
                      </a:extLst>
                    </a:blip>
                    <a:stretch>
                      <a:fillRect/>
                    </a:stretch>
                  </pic:blipFill>
                  <pic:spPr>
                    <a:xfrm>
                      <a:off x="0" y="0"/>
                      <a:ext cx="5762626" cy="6867524"/>
                    </a:xfrm>
                    <a:prstGeom prst="rect">
                      <a:avLst/>
                    </a:prstGeom>
                  </pic:spPr>
                </pic:pic>
              </a:graphicData>
            </a:graphic>
          </wp:inline>
        </w:drawing>
      </w:r>
      <w:r w:rsidR="7AA29AA8" w:rsidRPr="7AA29AA8">
        <w:rPr>
          <w:b/>
          <w:bCs/>
          <w:sz w:val="22"/>
          <w:szCs w:val="22"/>
          <w:lang w:val="en-US"/>
        </w:rPr>
        <w:t>Supplementary figure</w:t>
      </w:r>
      <w:r w:rsidR="00D92572">
        <w:rPr>
          <w:b/>
          <w:bCs/>
          <w:sz w:val="22"/>
          <w:szCs w:val="22"/>
          <w:lang w:val="en-US"/>
        </w:rPr>
        <w:t xml:space="preserve"> </w:t>
      </w:r>
      <w:r w:rsidR="7AA29AA8" w:rsidRPr="7AA29AA8">
        <w:rPr>
          <w:b/>
          <w:bCs/>
          <w:sz w:val="22"/>
          <w:szCs w:val="22"/>
          <w:lang w:val="en-US"/>
        </w:rPr>
        <w:t>2. Macromolecular and electrical IHC-coupling in the high- and low-frequency cochlea of the gerbil. (a)</w:t>
      </w:r>
      <w:r w:rsidR="7AA29AA8" w:rsidRPr="7AA29AA8">
        <w:rPr>
          <w:sz w:val="22"/>
          <w:szCs w:val="22"/>
          <w:lang w:val="en-US"/>
        </w:rPr>
        <w:t xml:space="preserve"> Fluorescence images taken during loading of TAMRA-peptide through the patch pipette into the IHC. In addition to the patched cell (C1), one IHC (first row; C2) in the apical cochlea and two (second row; C2-3) IHCs or one (third row; C2) neighboring IHC in the basal cochlea were also loaded with the fluorescent dye, demonstrating a molecular coupling between </w:t>
      </w:r>
      <w:r w:rsidR="7AA29AA8" w:rsidRPr="7AA29AA8">
        <w:rPr>
          <w:sz w:val="22"/>
          <w:szCs w:val="22"/>
          <w:lang w:val="en-US"/>
        </w:rPr>
        <w:lastRenderedPageBreak/>
        <w:t>these cells. Note that in the right three panels of the second row, the pipette is slightly out of focus due to drift. In the basal cochlea, the mean C</w:t>
      </w:r>
      <w:r w:rsidR="7AA29AA8" w:rsidRPr="7AA29AA8">
        <w:rPr>
          <w:sz w:val="22"/>
          <w:szCs w:val="22"/>
          <w:vertAlign w:val="subscript"/>
          <w:lang w:val="en-US"/>
        </w:rPr>
        <w:t>m</w:t>
      </w:r>
      <w:r w:rsidR="7AA29AA8" w:rsidRPr="7AA29AA8">
        <w:rPr>
          <w:sz w:val="22"/>
          <w:szCs w:val="22"/>
          <w:lang w:val="en-US"/>
        </w:rPr>
        <w:t xml:space="preserve"> of non-coupled, single IHCs (as demonstrated by the lack of TAMRA-fluorescence spread) was 13.5 ± 0.7 pF (</w:t>
      </w:r>
      <w:r w:rsidR="7AA29AA8" w:rsidRPr="7AA29AA8">
        <w:rPr>
          <w:i/>
          <w:iCs/>
          <w:sz w:val="22"/>
          <w:szCs w:val="22"/>
          <w:lang w:val="en-US"/>
        </w:rPr>
        <w:t>n</w:t>
      </w:r>
      <w:r w:rsidR="7AA29AA8" w:rsidRPr="7AA29AA8">
        <w:rPr>
          <w:sz w:val="22"/>
          <w:szCs w:val="22"/>
          <w:lang w:val="en-US"/>
        </w:rPr>
        <w:t xml:space="preserve"> = 11 loadings). When the dye loaded into 2 or 3 neighboring cells, the C</w:t>
      </w:r>
      <w:r w:rsidR="7AA29AA8" w:rsidRPr="7AA29AA8">
        <w:rPr>
          <w:sz w:val="22"/>
          <w:szCs w:val="22"/>
          <w:vertAlign w:val="subscript"/>
          <w:lang w:val="en-US"/>
        </w:rPr>
        <w:t>m</w:t>
      </w:r>
      <w:r w:rsidR="7AA29AA8" w:rsidRPr="7AA29AA8">
        <w:rPr>
          <w:sz w:val="22"/>
          <w:szCs w:val="22"/>
          <w:lang w:val="en-US"/>
        </w:rPr>
        <w:t xml:space="preserve"> read-out was 31.0 ± 4.0 pF (</w:t>
      </w:r>
      <w:r w:rsidR="7AA29AA8" w:rsidRPr="7AA29AA8">
        <w:rPr>
          <w:i/>
          <w:iCs/>
          <w:sz w:val="22"/>
          <w:szCs w:val="22"/>
          <w:lang w:val="en-US"/>
        </w:rPr>
        <w:t>n</w:t>
      </w:r>
      <w:r w:rsidR="7AA29AA8" w:rsidRPr="7AA29AA8">
        <w:rPr>
          <w:sz w:val="22"/>
          <w:szCs w:val="22"/>
          <w:lang w:val="en-US"/>
        </w:rPr>
        <w:t xml:space="preserve"> = 5 loadings). In the apical part the C</w:t>
      </w:r>
      <w:r w:rsidR="7AA29AA8" w:rsidRPr="7AA29AA8">
        <w:rPr>
          <w:sz w:val="22"/>
          <w:szCs w:val="22"/>
          <w:vertAlign w:val="subscript"/>
          <w:lang w:val="en-US"/>
        </w:rPr>
        <w:t xml:space="preserve">m </w:t>
      </w:r>
      <w:r w:rsidR="7AA29AA8" w:rsidRPr="7AA29AA8">
        <w:rPr>
          <w:sz w:val="22"/>
          <w:szCs w:val="22"/>
          <w:lang w:val="en-US"/>
        </w:rPr>
        <w:t>values for non-coupled IHCs were 14.3 ± 0.3 pF (</w:t>
      </w:r>
      <w:r w:rsidR="7AA29AA8" w:rsidRPr="7AA29AA8">
        <w:rPr>
          <w:i/>
          <w:iCs/>
          <w:sz w:val="22"/>
          <w:szCs w:val="22"/>
          <w:lang w:val="en-US"/>
        </w:rPr>
        <w:t xml:space="preserve">n </w:t>
      </w:r>
      <w:r w:rsidR="7AA29AA8" w:rsidRPr="7AA29AA8">
        <w:rPr>
          <w:sz w:val="22"/>
          <w:szCs w:val="22"/>
          <w:lang w:val="en-US"/>
        </w:rPr>
        <w:t>= 52 loadings) and 29.8 ± 4.6 pF (</w:t>
      </w:r>
      <w:r w:rsidR="7AA29AA8" w:rsidRPr="7AA29AA8">
        <w:rPr>
          <w:i/>
          <w:iCs/>
          <w:sz w:val="22"/>
          <w:szCs w:val="22"/>
          <w:lang w:val="en-US"/>
        </w:rPr>
        <w:t xml:space="preserve">n </w:t>
      </w:r>
      <w:r w:rsidR="7AA29AA8" w:rsidRPr="7AA29AA8">
        <w:rPr>
          <w:sz w:val="22"/>
          <w:szCs w:val="22"/>
          <w:lang w:val="en-US"/>
        </w:rPr>
        <w:t xml:space="preserve">= 3 loadings) for coupled IHCs. Values are shown as mean ± S.E.M. </w:t>
      </w:r>
      <w:r w:rsidR="7AA29AA8" w:rsidRPr="7AA29AA8">
        <w:rPr>
          <w:b/>
          <w:bCs/>
          <w:sz w:val="22"/>
          <w:szCs w:val="22"/>
          <w:lang w:val="en-US"/>
        </w:rPr>
        <w:t>(b)</w:t>
      </w:r>
      <w:r w:rsidR="7AA29AA8" w:rsidRPr="7AA29AA8">
        <w:rPr>
          <w:sz w:val="22"/>
          <w:szCs w:val="22"/>
          <w:lang w:val="en-US"/>
        </w:rPr>
        <w:t xml:space="preserve"> Current-voltage relationship obtained by 10-ms long depolarizations of increasing voltages (10 mV-increments) from IHCs of either basal or apical turn (</w:t>
      </w:r>
      <w:proofErr w:type="spellStart"/>
      <w:r w:rsidR="7AA29AA8" w:rsidRPr="000A1473">
        <w:rPr>
          <w:sz w:val="22"/>
          <w:szCs w:val="22"/>
          <w:lang w:val="en-US"/>
        </w:rPr>
        <w:t>N</w:t>
      </w:r>
      <w:r w:rsidR="000425E4" w:rsidRPr="00040DCF">
        <w:rPr>
          <w:sz w:val="22"/>
          <w:szCs w:val="22"/>
          <w:vertAlign w:val="subscript"/>
          <w:lang w:val="en-US"/>
        </w:rPr>
        <w:t>animal</w:t>
      </w:r>
      <w:r w:rsidR="00CE4670" w:rsidRPr="00040DCF">
        <w:rPr>
          <w:sz w:val="22"/>
          <w:szCs w:val="22"/>
          <w:vertAlign w:val="subscript"/>
          <w:lang w:val="en-US"/>
        </w:rPr>
        <w:t>s</w:t>
      </w:r>
      <w:proofErr w:type="spellEnd"/>
      <w:r w:rsidR="7AA29AA8" w:rsidRPr="000A1473">
        <w:rPr>
          <w:sz w:val="22"/>
          <w:szCs w:val="22"/>
          <w:lang w:val="en-US"/>
        </w:rPr>
        <w:t xml:space="preserve"> </w:t>
      </w:r>
      <w:r w:rsidR="7AA29AA8" w:rsidRPr="7AA29AA8">
        <w:rPr>
          <w:sz w:val="22"/>
          <w:szCs w:val="22"/>
          <w:lang w:val="en-US"/>
        </w:rPr>
        <w:t xml:space="preserve">= 42 (basal turn recordings) and </w:t>
      </w:r>
      <w:proofErr w:type="spellStart"/>
      <w:r w:rsidR="7AA29AA8" w:rsidRPr="000A1473">
        <w:rPr>
          <w:sz w:val="22"/>
          <w:szCs w:val="22"/>
          <w:lang w:val="en-US"/>
        </w:rPr>
        <w:t>N</w:t>
      </w:r>
      <w:r w:rsidR="000425E4" w:rsidRPr="00040DCF">
        <w:rPr>
          <w:sz w:val="22"/>
          <w:szCs w:val="22"/>
          <w:vertAlign w:val="subscript"/>
          <w:lang w:val="en-US"/>
        </w:rPr>
        <w:t>animal</w:t>
      </w:r>
      <w:r w:rsidR="00CE4670" w:rsidRPr="00040DCF">
        <w:rPr>
          <w:sz w:val="22"/>
          <w:szCs w:val="22"/>
          <w:vertAlign w:val="subscript"/>
          <w:lang w:val="en-US"/>
        </w:rPr>
        <w:t>s</w:t>
      </w:r>
      <w:proofErr w:type="spellEnd"/>
      <w:r w:rsidR="000425E4" w:rsidRPr="7AA29AA8">
        <w:rPr>
          <w:sz w:val="22"/>
          <w:szCs w:val="22"/>
          <w:lang w:val="en-US"/>
        </w:rPr>
        <w:t xml:space="preserve"> </w:t>
      </w:r>
      <w:r w:rsidR="7AA29AA8" w:rsidRPr="7AA29AA8">
        <w:rPr>
          <w:sz w:val="22"/>
          <w:szCs w:val="22"/>
          <w:lang w:val="en-US"/>
        </w:rPr>
        <w:t xml:space="preserve">= 17 (apical turn recordings), respectively). </w:t>
      </w:r>
      <w:r w:rsidR="7AA29AA8" w:rsidRPr="7AA29AA8">
        <w:rPr>
          <w:sz w:val="22"/>
          <w:szCs w:val="22"/>
          <w:lang w:eastAsia="zh-TW"/>
        </w:rPr>
        <w:t>Ca</w:t>
      </w:r>
      <w:r w:rsidR="7AA29AA8" w:rsidRPr="7AA29AA8">
        <w:rPr>
          <w:sz w:val="22"/>
          <w:szCs w:val="22"/>
          <w:vertAlign w:val="superscript"/>
          <w:lang w:eastAsia="zh-TW"/>
        </w:rPr>
        <w:t>2+</w:t>
      </w:r>
      <w:r w:rsidR="001016E9">
        <w:rPr>
          <w:sz w:val="22"/>
          <w:szCs w:val="22"/>
          <w:lang w:eastAsia="zh-TW"/>
        </w:rPr>
        <w:t xml:space="preserve"> </w:t>
      </w:r>
      <w:r w:rsidR="7AA29AA8" w:rsidRPr="7AA29AA8">
        <w:rPr>
          <w:sz w:val="22"/>
          <w:szCs w:val="22"/>
          <w:lang w:val="en-US"/>
        </w:rPr>
        <w:t>currents were significantly larger in dye-filled coupled cells or cells with C</w:t>
      </w:r>
      <w:r w:rsidR="7AA29AA8" w:rsidRPr="7AA29AA8">
        <w:rPr>
          <w:sz w:val="22"/>
          <w:szCs w:val="22"/>
          <w:vertAlign w:val="subscript"/>
          <w:lang w:val="en-US"/>
        </w:rPr>
        <w:t>m</w:t>
      </w:r>
      <w:r w:rsidR="7AA29AA8" w:rsidRPr="7AA29AA8">
        <w:rPr>
          <w:sz w:val="22"/>
          <w:szCs w:val="22"/>
          <w:lang w:val="en-US"/>
        </w:rPr>
        <w:t xml:space="preserve"> values from 15-30 pF and above 30 pF (likely representing coupled cells) as compared to cells with C</w:t>
      </w:r>
      <w:r w:rsidR="7AA29AA8" w:rsidRPr="7AA29AA8">
        <w:rPr>
          <w:sz w:val="22"/>
          <w:szCs w:val="22"/>
          <w:vertAlign w:val="subscript"/>
          <w:lang w:val="en-US"/>
        </w:rPr>
        <w:t>m</w:t>
      </w:r>
      <w:r w:rsidR="7AA29AA8" w:rsidRPr="7AA29AA8">
        <w:rPr>
          <w:sz w:val="22"/>
          <w:szCs w:val="22"/>
          <w:lang w:val="en-US"/>
        </w:rPr>
        <w:t xml:space="preserve"> values smaller than 15 </w:t>
      </w:r>
      <w:proofErr w:type="spellStart"/>
      <w:r w:rsidR="7AA29AA8" w:rsidRPr="7AA29AA8">
        <w:rPr>
          <w:sz w:val="22"/>
          <w:szCs w:val="22"/>
          <w:lang w:val="en-US"/>
        </w:rPr>
        <w:t>pF.</w:t>
      </w:r>
      <w:proofErr w:type="spellEnd"/>
      <w:r w:rsidR="7AA29AA8" w:rsidRPr="7AA29AA8">
        <w:rPr>
          <w:sz w:val="22"/>
          <w:szCs w:val="22"/>
          <w:lang w:val="en-US"/>
        </w:rPr>
        <w:t xml:space="preserve"> In some cells with large C</w:t>
      </w:r>
      <w:r w:rsidR="7AA29AA8" w:rsidRPr="7AA29AA8">
        <w:rPr>
          <w:sz w:val="22"/>
          <w:szCs w:val="22"/>
          <w:vertAlign w:val="subscript"/>
          <w:lang w:val="en-US"/>
        </w:rPr>
        <w:t>m</w:t>
      </w:r>
      <w:r w:rsidR="7AA29AA8" w:rsidRPr="7AA29AA8">
        <w:rPr>
          <w:sz w:val="22"/>
          <w:szCs w:val="22"/>
          <w:lang w:val="en-US"/>
        </w:rPr>
        <w:t>, the Ca</w:t>
      </w:r>
      <w:r w:rsidR="7AA29AA8" w:rsidRPr="7AA29AA8">
        <w:rPr>
          <w:sz w:val="22"/>
          <w:szCs w:val="22"/>
          <w:vertAlign w:val="superscript"/>
          <w:lang w:val="en-US"/>
        </w:rPr>
        <w:t>2+</w:t>
      </w:r>
      <w:r w:rsidR="7AA29AA8" w:rsidRPr="7AA29AA8">
        <w:rPr>
          <w:sz w:val="22"/>
          <w:szCs w:val="22"/>
          <w:lang w:val="en-US"/>
        </w:rPr>
        <w:t xml:space="preserve"> current activation displayed multiple time constants (middle insert), likely due to a delayed channel activation in the incompletely clamped neighboring cells.  </w:t>
      </w:r>
      <w:r w:rsidR="7AA29AA8" w:rsidRPr="7AA29AA8">
        <w:rPr>
          <w:b/>
          <w:bCs/>
          <w:sz w:val="22"/>
          <w:szCs w:val="22"/>
          <w:lang w:val="en-US"/>
        </w:rPr>
        <w:t>(c)</w:t>
      </w:r>
      <w:r w:rsidR="7AA29AA8" w:rsidRPr="7AA29AA8">
        <w:rPr>
          <w:sz w:val="22"/>
          <w:szCs w:val="22"/>
          <w:lang w:val="en-US"/>
        </w:rPr>
        <w:t xml:space="preserve"> The relation between the resting membrane capacitance C</w:t>
      </w:r>
      <w:r w:rsidR="7AA29AA8" w:rsidRPr="7AA29AA8">
        <w:rPr>
          <w:sz w:val="22"/>
          <w:szCs w:val="22"/>
          <w:vertAlign w:val="subscript"/>
          <w:lang w:val="en-US"/>
        </w:rPr>
        <w:t xml:space="preserve">m </w:t>
      </w:r>
      <w:r w:rsidR="7AA29AA8" w:rsidRPr="7AA29AA8">
        <w:rPr>
          <w:sz w:val="22"/>
          <w:szCs w:val="22"/>
          <w:lang w:val="en-US"/>
        </w:rPr>
        <w:t xml:space="preserve">and the maximal depolarization-evoked </w:t>
      </w:r>
      <w:r w:rsidR="7AA29AA8" w:rsidRPr="7AA29AA8">
        <w:rPr>
          <w:sz w:val="22"/>
          <w:szCs w:val="22"/>
          <w:lang w:eastAsia="zh-TW"/>
        </w:rPr>
        <w:t>Ca</w:t>
      </w:r>
      <w:r w:rsidR="7AA29AA8" w:rsidRPr="7AA29AA8">
        <w:rPr>
          <w:sz w:val="22"/>
          <w:szCs w:val="22"/>
          <w:vertAlign w:val="superscript"/>
          <w:lang w:eastAsia="zh-TW"/>
        </w:rPr>
        <w:t>2+</w:t>
      </w:r>
      <w:r w:rsidR="001016E9">
        <w:rPr>
          <w:sz w:val="22"/>
          <w:szCs w:val="22"/>
          <w:lang w:eastAsia="zh-TW"/>
        </w:rPr>
        <w:t xml:space="preserve"> </w:t>
      </w:r>
      <w:r w:rsidR="7AA29AA8" w:rsidRPr="7AA29AA8">
        <w:rPr>
          <w:sz w:val="22"/>
          <w:szCs w:val="22"/>
          <w:lang w:val="en-US"/>
        </w:rPr>
        <w:t xml:space="preserve">current </w:t>
      </w:r>
      <w:proofErr w:type="spellStart"/>
      <w:r w:rsidR="7AA29AA8" w:rsidRPr="7AA29AA8">
        <w:rPr>
          <w:sz w:val="22"/>
          <w:szCs w:val="22"/>
          <w:lang w:val="en-US"/>
        </w:rPr>
        <w:t>I</w:t>
      </w:r>
      <w:r w:rsidR="7AA29AA8" w:rsidRPr="7AA29AA8">
        <w:rPr>
          <w:sz w:val="22"/>
          <w:szCs w:val="22"/>
          <w:vertAlign w:val="subscript"/>
          <w:lang w:val="en-US"/>
        </w:rPr>
        <w:t>CaMax</w:t>
      </w:r>
      <w:proofErr w:type="spellEnd"/>
      <w:r w:rsidR="7AA29AA8" w:rsidRPr="7AA29AA8">
        <w:rPr>
          <w:sz w:val="22"/>
          <w:szCs w:val="22"/>
          <w:lang w:val="en-US"/>
        </w:rPr>
        <w:t xml:space="preserve"> (</w:t>
      </w:r>
      <w:r w:rsidR="7AA29AA8" w:rsidRPr="00040DCF">
        <w:rPr>
          <w:iCs/>
          <w:sz w:val="22"/>
          <w:szCs w:val="22"/>
          <w:lang w:val="en-US"/>
        </w:rPr>
        <w:t>gray circles</w:t>
      </w:r>
      <w:r w:rsidR="7AA29AA8" w:rsidRPr="7AA29AA8">
        <w:rPr>
          <w:i/>
          <w:iCs/>
          <w:sz w:val="22"/>
          <w:szCs w:val="22"/>
          <w:lang w:val="en-US"/>
        </w:rPr>
        <w:t>,</w:t>
      </w:r>
      <w:r w:rsidR="00D92572">
        <w:rPr>
          <w:i/>
          <w:iCs/>
          <w:sz w:val="22"/>
          <w:szCs w:val="22"/>
          <w:lang w:val="en-US"/>
        </w:rPr>
        <w:t xml:space="preserve"> </w:t>
      </w:r>
      <w:r w:rsidR="00D92572" w:rsidRPr="00040DCF">
        <w:rPr>
          <w:sz w:val="22"/>
          <w:szCs w:val="22"/>
        </w:rPr>
        <w:t>Pearson correlation coefficient:</w:t>
      </w:r>
      <w:r w:rsidR="7AA29AA8" w:rsidRPr="00D92572">
        <w:rPr>
          <w:i/>
          <w:iCs/>
          <w:sz w:val="22"/>
          <w:szCs w:val="22"/>
          <w:lang w:val="en-US"/>
        </w:rPr>
        <w:t xml:space="preserve"> </w:t>
      </w:r>
      <w:r w:rsidR="7AA29AA8" w:rsidRPr="00D92572">
        <w:rPr>
          <w:sz w:val="22"/>
          <w:szCs w:val="22"/>
          <w:lang w:val="en-US"/>
        </w:rPr>
        <w:t xml:space="preserve">r = -0.56, p &lt; 0.0001), as well as the resting current </w:t>
      </w:r>
      <w:proofErr w:type="spellStart"/>
      <w:r w:rsidR="7AA29AA8" w:rsidRPr="00D92572">
        <w:rPr>
          <w:sz w:val="22"/>
          <w:szCs w:val="22"/>
          <w:lang w:val="en-US"/>
        </w:rPr>
        <w:t>I</w:t>
      </w:r>
      <w:r w:rsidR="7AA29AA8" w:rsidRPr="006F1A31">
        <w:rPr>
          <w:sz w:val="22"/>
          <w:szCs w:val="22"/>
          <w:vertAlign w:val="subscript"/>
          <w:lang w:val="en-US"/>
        </w:rPr>
        <w:t>rest</w:t>
      </w:r>
      <w:proofErr w:type="spellEnd"/>
      <w:r w:rsidR="7AA29AA8" w:rsidRPr="006F1A31">
        <w:rPr>
          <w:sz w:val="22"/>
          <w:szCs w:val="22"/>
          <w:vertAlign w:val="subscript"/>
          <w:lang w:val="en-US"/>
        </w:rPr>
        <w:t xml:space="preserve"> </w:t>
      </w:r>
      <w:r w:rsidR="7AA29AA8" w:rsidRPr="00D92572">
        <w:rPr>
          <w:sz w:val="22"/>
          <w:szCs w:val="22"/>
          <w:lang w:val="en-US"/>
        </w:rPr>
        <w:t>(</w:t>
      </w:r>
      <w:r w:rsidR="7AA29AA8" w:rsidRPr="00040DCF">
        <w:rPr>
          <w:iCs/>
          <w:sz w:val="22"/>
          <w:szCs w:val="22"/>
          <w:lang w:val="en-US"/>
        </w:rPr>
        <w:t xml:space="preserve">red crosses, </w:t>
      </w:r>
      <w:r w:rsidR="00D92572" w:rsidRPr="00040DCF">
        <w:rPr>
          <w:sz w:val="22"/>
          <w:szCs w:val="22"/>
        </w:rPr>
        <w:t>Pearson correlation coefficient:</w:t>
      </w:r>
      <w:r w:rsidR="00D92572" w:rsidRPr="7AA29AA8">
        <w:rPr>
          <w:sz w:val="22"/>
          <w:szCs w:val="22"/>
          <w:lang w:val="en-US"/>
        </w:rPr>
        <w:t xml:space="preserve"> </w:t>
      </w:r>
      <w:r w:rsidR="7AA29AA8" w:rsidRPr="7AA29AA8">
        <w:rPr>
          <w:sz w:val="22"/>
          <w:szCs w:val="22"/>
          <w:lang w:val="en-US"/>
        </w:rPr>
        <w:t>r = -0.52, p &lt; 0.0001)</w:t>
      </w:r>
      <w:r w:rsidR="000425E4">
        <w:rPr>
          <w:sz w:val="22"/>
          <w:szCs w:val="22"/>
          <w:lang w:val="en-US"/>
        </w:rPr>
        <w:t xml:space="preserve"> </w:t>
      </w:r>
      <w:r w:rsidR="7AA29AA8" w:rsidRPr="7AA29AA8">
        <w:rPr>
          <w:sz w:val="22"/>
          <w:szCs w:val="22"/>
          <w:lang w:val="en-US"/>
        </w:rPr>
        <w:t>in the basal cochlea (</w:t>
      </w:r>
      <w:r w:rsidR="7AA29AA8" w:rsidRPr="7AA29AA8">
        <w:rPr>
          <w:i/>
          <w:iCs/>
          <w:sz w:val="22"/>
          <w:szCs w:val="22"/>
          <w:lang w:val="en-US"/>
        </w:rPr>
        <w:t>n</w:t>
      </w:r>
      <w:r w:rsidR="7AA29AA8" w:rsidRPr="7AA29AA8">
        <w:rPr>
          <w:sz w:val="22"/>
          <w:szCs w:val="22"/>
          <w:lang w:val="en-US"/>
        </w:rPr>
        <w:t xml:space="preserve"> = 53 basal cells from the panel b). Mean values for C</w:t>
      </w:r>
      <w:r w:rsidR="7AA29AA8" w:rsidRPr="7AA29AA8">
        <w:rPr>
          <w:sz w:val="22"/>
          <w:szCs w:val="22"/>
          <w:vertAlign w:val="subscript"/>
          <w:lang w:val="en-US"/>
        </w:rPr>
        <w:t>m</w:t>
      </w:r>
      <w:r w:rsidR="7AA29AA8" w:rsidRPr="7AA29AA8">
        <w:rPr>
          <w:sz w:val="22"/>
          <w:szCs w:val="22"/>
          <w:lang w:val="en-US"/>
        </w:rPr>
        <w:t xml:space="preserve"> and </w:t>
      </w:r>
      <w:proofErr w:type="spellStart"/>
      <w:r w:rsidR="7AA29AA8" w:rsidRPr="7AA29AA8">
        <w:rPr>
          <w:sz w:val="22"/>
          <w:szCs w:val="22"/>
          <w:lang w:val="en-US"/>
        </w:rPr>
        <w:t>I</w:t>
      </w:r>
      <w:r w:rsidR="7AA29AA8" w:rsidRPr="7AA29AA8">
        <w:rPr>
          <w:sz w:val="22"/>
          <w:szCs w:val="22"/>
          <w:vertAlign w:val="subscript"/>
          <w:lang w:val="en-US"/>
        </w:rPr>
        <w:t>CaMax</w:t>
      </w:r>
      <w:proofErr w:type="spellEnd"/>
      <w:r w:rsidR="7AA29AA8" w:rsidRPr="7AA29AA8">
        <w:rPr>
          <w:sz w:val="22"/>
          <w:szCs w:val="22"/>
          <w:lang w:val="en-US"/>
        </w:rPr>
        <w:t xml:space="preserve"> and their respective S.E.M. for single-dye-filled (red; </w:t>
      </w:r>
      <w:r w:rsidR="7AA29AA8" w:rsidRPr="7AA29AA8">
        <w:rPr>
          <w:i/>
          <w:iCs/>
          <w:sz w:val="22"/>
          <w:szCs w:val="22"/>
          <w:lang w:val="en-US"/>
        </w:rPr>
        <w:t xml:space="preserve">n </w:t>
      </w:r>
      <w:r w:rsidR="7AA29AA8" w:rsidRPr="7AA29AA8">
        <w:rPr>
          <w:sz w:val="22"/>
          <w:szCs w:val="22"/>
          <w:lang w:val="en-US"/>
        </w:rPr>
        <w:t xml:space="preserve">= 11) and coupled-dye-filled (green; </w:t>
      </w:r>
      <w:r w:rsidR="7AA29AA8" w:rsidRPr="7AA29AA8">
        <w:rPr>
          <w:i/>
          <w:iCs/>
          <w:sz w:val="22"/>
          <w:szCs w:val="22"/>
          <w:lang w:val="en-US"/>
        </w:rPr>
        <w:t xml:space="preserve">n </w:t>
      </w:r>
      <w:r w:rsidR="7AA29AA8" w:rsidRPr="7AA29AA8">
        <w:rPr>
          <w:sz w:val="22"/>
          <w:szCs w:val="22"/>
          <w:lang w:val="en-US"/>
        </w:rPr>
        <w:t>= 5) IHCs are presented as filled dots with error bars. Data was obtained across all age groups (P16-38) using ruptured patch experiments with 1.3 mM extracellular Ca</w:t>
      </w:r>
      <w:r w:rsidR="7AA29AA8" w:rsidRPr="7AA29AA8">
        <w:rPr>
          <w:sz w:val="22"/>
          <w:szCs w:val="22"/>
          <w:vertAlign w:val="superscript"/>
          <w:lang w:val="en-US"/>
        </w:rPr>
        <w:t>2+</w:t>
      </w:r>
      <w:r w:rsidR="7AA29AA8" w:rsidRPr="7AA29AA8">
        <w:rPr>
          <w:sz w:val="22"/>
          <w:szCs w:val="22"/>
          <w:lang w:val="en-US"/>
        </w:rPr>
        <w:t xml:space="preserve">. </w:t>
      </w:r>
      <w:r w:rsidR="7AA29AA8" w:rsidRPr="7AA29AA8">
        <w:rPr>
          <w:i/>
          <w:iCs/>
          <w:sz w:val="22"/>
          <w:szCs w:val="22"/>
          <w:lang w:val="en-US"/>
        </w:rPr>
        <w:t>Abbreviations: IHC</w:t>
      </w:r>
      <w:r w:rsidR="7AA29AA8" w:rsidRPr="7AA29AA8">
        <w:rPr>
          <w:sz w:val="22"/>
          <w:szCs w:val="22"/>
          <w:lang w:val="en-US"/>
        </w:rPr>
        <w:t xml:space="preserve">, inner hair cell </w:t>
      </w:r>
      <w:r w:rsidR="7AA29AA8" w:rsidRPr="7AA29AA8">
        <w:rPr>
          <w:i/>
          <w:iCs/>
          <w:sz w:val="22"/>
          <w:szCs w:val="22"/>
          <w:lang w:val="en-US"/>
        </w:rPr>
        <w:t xml:space="preserve">Scale bars: </w:t>
      </w:r>
      <w:r w:rsidR="7AA29AA8" w:rsidRPr="7AA29AA8">
        <w:rPr>
          <w:sz w:val="22"/>
          <w:szCs w:val="22"/>
          <w:lang w:val="en-US"/>
        </w:rPr>
        <w:t>5 µm.</w:t>
      </w:r>
    </w:p>
    <w:p w14:paraId="54137A51" w14:textId="43AE12A0" w:rsidR="00D23D9F" w:rsidRPr="00CC3DB5" w:rsidRDefault="00D23D9F" w:rsidP="0027585C">
      <w:pPr>
        <w:spacing w:line="240" w:lineRule="auto"/>
        <w:jc w:val="both"/>
        <w:rPr>
          <w:b/>
          <w:sz w:val="22"/>
          <w:szCs w:val="22"/>
          <w:lang w:val="en-US"/>
        </w:rPr>
      </w:pPr>
    </w:p>
    <w:p w14:paraId="446DCF14" w14:textId="77777777" w:rsidR="00D23D9F" w:rsidRPr="00CC3DB5" w:rsidRDefault="00D23D9F" w:rsidP="00DE5418">
      <w:pPr>
        <w:spacing w:line="240" w:lineRule="auto"/>
        <w:rPr>
          <w:b/>
          <w:sz w:val="22"/>
          <w:szCs w:val="22"/>
          <w:lang w:val="en-US"/>
        </w:rPr>
      </w:pPr>
    </w:p>
    <w:p w14:paraId="7C88127A" w14:textId="77777777" w:rsidR="00D23D9F" w:rsidRPr="00CC3DB5" w:rsidRDefault="00D23D9F" w:rsidP="00DE5418">
      <w:pPr>
        <w:spacing w:line="240" w:lineRule="auto"/>
        <w:rPr>
          <w:b/>
          <w:sz w:val="22"/>
          <w:szCs w:val="22"/>
          <w:lang w:val="en-US"/>
        </w:rPr>
      </w:pPr>
      <w:r w:rsidRPr="00CC3DB5">
        <w:rPr>
          <w:noProof/>
          <w:sz w:val="22"/>
          <w:szCs w:val="22"/>
          <w:lang w:eastAsia="en-GB"/>
        </w:rPr>
        <w:drawing>
          <wp:inline distT="0" distB="0" distL="0" distR="0" wp14:anchorId="0DD119B3" wp14:editId="29D3A71E">
            <wp:extent cx="3751580" cy="2665095"/>
            <wp:effectExtent l="0" t="0" r="1270" b="1905"/>
            <wp:docPr id="8" name="Picture 2" descr="Supp3-temporal bone-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upp3-temporal bone-0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51580" cy="2665095"/>
                    </a:xfrm>
                    <a:prstGeom prst="rect">
                      <a:avLst/>
                    </a:prstGeom>
                    <a:noFill/>
                    <a:ln>
                      <a:noFill/>
                    </a:ln>
                  </pic:spPr>
                </pic:pic>
              </a:graphicData>
            </a:graphic>
          </wp:inline>
        </w:drawing>
      </w:r>
    </w:p>
    <w:p w14:paraId="460C58AF" w14:textId="1C0388E2" w:rsidR="00DA506F" w:rsidRPr="00CC3DB5" w:rsidRDefault="7AA29AA8" w:rsidP="7AA29AA8">
      <w:pPr>
        <w:spacing w:line="240" w:lineRule="auto"/>
        <w:rPr>
          <w:sz w:val="22"/>
          <w:szCs w:val="22"/>
          <w:lang w:val="en-US"/>
        </w:rPr>
      </w:pPr>
      <w:r w:rsidRPr="7AA29AA8">
        <w:rPr>
          <w:b/>
          <w:bCs/>
          <w:sz w:val="22"/>
          <w:szCs w:val="22"/>
          <w:lang w:val="en-US"/>
        </w:rPr>
        <w:t>Supplementary figure</w:t>
      </w:r>
      <w:r w:rsidR="00F018BD">
        <w:rPr>
          <w:b/>
          <w:bCs/>
          <w:sz w:val="22"/>
          <w:szCs w:val="22"/>
          <w:lang w:val="en-US"/>
        </w:rPr>
        <w:t xml:space="preserve"> </w:t>
      </w:r>
      <w:r w:rsidRPr="7AA29AA8">
        <w:rPr>
          <w:b/>
          <w:bCs/>
          <w:sz w:val="22"/>
          <w:szCs w:val="22"/>
          <w:lang w:val="en-US"/>
        </w:rPr>
        <w:t xml:space="preserve">3: Distribution of dye-filled IHC numbers in the temporal bone preparation. </w:t>
      </w:r>
      <w:r w:rsidRPr="7AA29AA8">
        <w:rPr>
          <w:sz w:val="22"/>
          <w:szCs w:val="22"/>
          <w:lang w:val="en-US"/>
        </w:rPr>
        <w:t xml:space="preserve">Histogram displaying the number of dye-filled IHCs per loading at P26-100, with a prevalence for coupled cells of 33%. </w:t>
      </w:r>
      <w:r w:rsidRPr="7AA29AA8">
        <w:rPr>
          <w:i/>
          <w:iCs/>
          <w:sz w:val="22"/>
          <w:szCs w:val="22"/>
          <w:lang w:val="en-US"/>
        </w:rPr>
        <w:t>Abbreviations: IHC</w:t>
      </w:r>
      <w:r w:rsidRPr="7AA29AA8">
        <w:rPr>
          <w:sz w:val="22"/>
          <w:szCs w:val="22"/>
          <w:lang w:val="en-US"/>
        </w:rPr>
        <w:t>, inner hair cell.</w:t>
      </w:r>
    </w:p>
    <w:p w14:paraId="0B6838B0" w14:textId="77777777" w:rsidR="00D34B71" w:rsidRPr="00CC3DB5" w:rsidRDefault="00D34B71" w:rsidP="00800C1B">
      <w:pPr>
        <w:jc w:val="both"/>
        <w:rPr>
          <w:sz w:val="22"/>
          <w:szCs w:val="22"/>
          <w:lang w:val="en-US"/>
        </w:rPr>
      </w:pPr>
    </w:p>
    <w:p w14:paraId="3F586431" w14:textId="77777777" w:rsidR="0094368E" w:rsidRPr="00CC3DB5" w:rsidRDefault="0094368E" w:rsidP="0094368E">
      <w:pPr>
        <w:spacing w:line="240" w:lineRule="auto"/>
        <w:jc w:val="both"/>
        <w:rPr>
          <w:b/>
          <w:sz w:val="22"/>
          <w:szCs w:val="22"/>
          <w:lang w:val="en-US"/>
        </w:rPr>
      </w:pPr>
    </w:p>
    <w:p w14:paraId="3D088E2F" w14:textId="77777777" w:rsidR="0094368E" w:rsidRPr="00CC3DB5" w:rsidRDefault="0094368E" w:rsidP="0094368E">
      <w:pPr>
        <w:spacing w:line="240" w:lineRule="auto"/>
        <w:rPr>
          <w:b/>
          <w:sz w:val="22"/>
          <w:szCs w:val="22"/>
          <w:lang w:val="en-US"/>
        </w:rPr>
      </w:pPr>
    </w:p>
    <w:p w14:paraId="0C436783" w14:textId="77777777" w:rsidR="0094368E" w:rsidRPr="00CC3DB5" w:rsidRDefault="0094368E" w:rsidP="0094368E">
      <w:pPr>
        <w:spacing w:line="240" w:lineRule="auto"/>
        <w:jc w:val="both"/>
        <w:rPr>
          <w:b/>
          <w:sz w:val="22"/>
          <w:szCs w:val="22"/>
          <w:lang w:val="en-US"/>
        </w:rPr>
      </w:pPr>
      <w:r w:rsidRPr="00CC3DB5">
        <w:rPr>
          <w:b/>
          <w:noProof/>
          <w:sz w:val="22"/>
          <w:szCs w:val="22"/>
          <w:lang w:eastAsia="en-GB"/>
        </w:rPr>
        <w:lastRenderedPageBreak/>
        <w:drawing>
          <wp:inline distT="0" distB="0" distL="0" distR="0" wp14:anchorId="7DE7AEEA" wp14:editId="3C2E4DA8">
            <wp:extent cx="4399915" cy="5685790"/>
            <wp:effectExtent l="0" t="0" r="635" b="0"/>
            <wp:docPr id="1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399915" cy="5685790"/>
                    </a:xfrm>
                    <a:prstGeom prst="rect">
                      <a:avLst/>
                    </a:prstGeom>
                    <a:noFill/>
                    <a:ln>
                      <a:noFill/>
                    </a:ln>
                  </pic:spPr>
                </pic:pic>
              </a:graphicData>
            </a:graphic>
          </wp:inline>
        </w:drawing>
      </w:r>
    </w:p>
    <w:p w14:paraId="10E6B62E" w14:textId="0D16FC17" w:rsidR="0094368E" w:rsidRPr="00CC3DB5" w:rsidRDefault="7AA29AA8" w:rsidP="7AA29AA8">
      <w:pPr>
        <w:spacing w:line="240" w:lineRule="auto"/>
        <w:jc w:val="both"/>
        <w:rPr>
          <w:sz w:val="22"/>
          <w:szCs w:val="22"/>
        </w:rPr>
      </w:pPr>
      <w:r w:rsidRPr="7AA29AA8">
        <w:rPr>
          <w:b/>
          <w:bCs/>
          <w:sz w:val="22"/>
          <w:szCs w:val="22"/>
        </w:rPr>
        <w:t>Supplementary figure</w:t>
      </w:r>
      <w:r w:rsidR="00F018BD">
        <w:rPr>
          <w:b/>
          <w:bCs/>
          <w:sz w:val="22"/>
          <w:szCs w:val="22"/>
        </w:rPr>
        <w:t xml:space="preserve"> </w:t>
      </w:r>
      <w:r w:rsidRPr="7AA29AA8">
        <w:rPr>
          <w:b/>
          <w:bCs/>
          <w:sz w:val="22"/>
          <w:szCs w:val="22"/>
        </w:rPr>
        <w:t>4. IHC coupling can be observed with least invasive recording approaches.</w:t>
      </w:r>
      <w:r w:rsidRPr="7AA29AA8">
        <w:rPr>
          <w:sz w:val="22"/>
          <w:szCs w:val="22"/>
        </w:rPr>
        <w:t xml:space="preserve"> Figures </w:t>
      </w:r>
      <w:r w:rsidRPr="7AA29AA8">
        <w:rPr>
          <w:b/>
          <w:bCs/>
          <w:sz w:val="22"/>
          <w:szCs w:val="22"/>
        </w:rPr>
        <w:t>a-f</w:t>
      </w:r>
      <w:r w:rsidRPr="7AA29AA8">
        <w:rPr>
          <w:sz w:val="22"/>
          <w:szCs w:val="22"/>
        </w:rPr>
        <w:t xml:space="preserve"> illustrate the ruptured-patch of IHCs with minimal cleaning. (</w:t>
      </w:r>
      <w:r w:rsidRPr="7AA29AA8">
        <w:rPr>
          <w:b/>
          <w:bCs/>
          <w:sz w:val="22"/>
          <w:szCs w:val="22"/>
        </w:rPr>
        <w:t>a</w:t>
      </w:r>
      <w:r w:rsidRPr="7AA29AA8">
        <w:rPr>
          <w:sz w:val="22"/>
          <w:szCs w:val="22"/>
        </w:rPr>
        <w:t>) After removing a single inner sulcus cell, (</w:t>
      </w:r>
      <w:r w:rsidRPr="7AA29AA8">
        <w:rPr>
          <w:b/>
          <w:bCs/>
          <w:sz w:val="22"/>
          <w:szCs w:val="22"/>
        </w:rPr>
        <w:t>b</w:t>
      </w:r>
      <w:r w:rsidRPr="7AA29AA8">
        <w:rPr>
          <w:sz w:val="22"/>
          <w:szCs w:val="22"/>
        </w:rPr>
        <w:t>) a cleaning pipette with applied positive pressure is gently moved in between SCs so that a tunnel-like route that reaches IHCs is formed. (</w:t>
      </w:r>
      <w:r w:rsidRPr="7AA29AA8">
        <w:rPr>
          <w:b/>
          <w:bCs/>
          <w:sz w:val="22"/>
          <w:szCs w:val="22"/>
        </w:rPr>
        <w:t>c</w:t>
      </w:r>
      <w:r w:rsidRPr="7AA29AA8">
        <w:rPr>
          <w:sz w:val="22"/>
          <w:szCs w:val="22"/>
        </w:rPr>
        <w:t>) Coloured DIC image of a formed route. (</w:t>
      </w:r>
      <w:r w:rsidRPr="7AA29AA8">
        <w:rPr>
          <w:b/>
          <w:bCs/>
          <w:sz w:val="22"/>
          <w:szCs w:val="22"/>
        </w:rPr>
        <w:t>d-e</w:t>
      </w:r>
      <w:r w:rsidRPr="7AA29AA8">
        <w:rPr>
          <w:sz w:val="22"/>
          <w:szCs w:val="22"/>
        </w:rPr>
        <w:t>) By carefully moving a recording pipette through the route to an IHC, ruptured-patch recordings can be performed. (</w:t>
      </w:r>
      <w:r w:rsidRPr="7AA29AA8">
        <w:rPr>
          <w:b/>
          <w:bCs/>
          <w:sz w:val="22"/>
          <w:szCs w:val="22"/>
        </w:rPr>
        <w:t>f</w:t>
      </w:r>
      <w:r w:rsidRPr="7AA29AA8">
        <w:rPr>
          <w:sz w:val="22"/>
          <w:szCs w:val="22"/>
        </w:rPr>
        <w:t>) Coloured DIC image of a successful ruptured-patch. (</w:t>
      </w:r>
      <w:r w:rsidRPr="7AA29AA8">
        <w:rPr>
          <w:b/>
          <w:bCs/>
          <w:sz w:val="22"/>
          <w:szCs w:val="22"/>
        </w:rPr>
        <w:t>g-h</w:t>
      </w:r>
      <w:r w:rsidRPr="7AA29AA8">
        <w:rPr>
          <w:sz w:val="22"/>
          <w:szCs w:val="22"/>
        </w:rPr>
        <w:t>) In addition to typical IHCs with membrane capacitance (C</w:t>
      </w:r>
      <w:r w:rsidRPr="7AA29AA8">
        <w:rPr>
          <w:sz w:val="22"/>
          <w:szCs w:val="22"/>
          <w:vertAlign w:val="subscript"/>
        </w:rPr>
        <w:t>m</w:t>
      </w:r>
      <w:r w:rsidRPr="7AA29AA8">
        <w:rPr>
          <w:sz w:val="22"/>
          <w:szCs w:val="22"/>
        </w:rPr>
        <w:t>) ~ 9 pF, IHCs with atypically high Ca</w:t>
      </w:r>
      <w:r w:rsidRPr="7AA29AA8">
        <w:rPr>
          <w:sz w:val="22"/>
          <w:szCs w:val="22"/>
          <w:vertAlign w:val="superscript"/>
        </w:rPr>
        <w:t>2+</w:t>
      </w:r>
      <w:r w:rsidRPr="7AA29AA8">
        <w:rPr>
          <w:sz w:val="22"/>
          <w:szCs w:val="22"/>
        </w:rPr>
        <w:t xml:space="preserve"> currents (</w:t>
      </w:r>
      <w:proofErr w:type="spellStart"/>
      <w:r w:rsidRPr="7AA29AA8">
        <w:rPr>
          <w:sz w:val="22"/>
          <w:szCs w:val="22"/>
        </w:rPr>
        <w:t>I</w:t>
      </w:r>
      <w:r w:rsidRPr="7AA29AA8">
        <w:rPr>
          <w:sz w:val="22"/>
          <w:szCs w:val="22"/>
          <w:vertAlign w:val="subscript"/>
        </w:rPr>
        <w:t>CaMax</w:t>
      </w:r>
      <w:proofErr w:type="spellEnd"/>
      <w:r w:rsidRPr="7AA29AA8">
        <w:rPr>
          <w:sz w:val="22"/>
          <w:szCs w:val="22"/>
        </w:rPr>
        <w:t xml:space="preserve"> in g), resting membrane currents (</w:t>
      </w:r>
      <w:proofErr w:type="spellStart"/>
      <w:r w:rsidRPr="7AA29AA8">
        <w:rPr>
          <w:sz w:val="22"/>
          <w:szCs w:val="22"/>
        </w:rPr>
        <w:t>I</w:t>
      </w:r>
      <w:r w:rsidRPr="7AA29AA8">
        <w:rPr>
          <w:sz w:val="22"/>
          <w:szCs w:val="22"/>
          <w:vertAlign w:val="subscript"/>
        </w:rPr>
        <w:t>rest</w:t>
      </w:r>
      <w:proofErr w:type="spellEnd"/>
      <w:r w:rsidRPr="7AA29AA8">
        <w:rPr>
          <w:sz w:val="22"/>
          <w:szCs w:val="22"/>
        </w:rPr>
        <w:t xml:space="preserve"> in h), and C</w:t>
      </w:r>
      <w:r w:rsidRPr="7AA29AA8">
        <w:rPr>
          <w:sz w:val="22"/>
          <w:szCs w:val="22"/>
          <w:vertAlign w:val="subscript"/>
        </w:rPr>
        <w:t>m</w:t>
      </w:r>
      <w:r w:rsidRPr="7AA29AA8">
        <w:rPr>
          <w:sz w:val="22"/>
          <w:szCs w:val="22"/>
        </w:rPr>
        <w:t xml:space="preserve"> can be observed in ruptured-patch recordings with minimal cleaning (black triangle, </w:t>
      </w:r>
      <w:r w:rsidRPr="7AA29AA8">
        <w:rPr>
          <w:i/>
          <w:iCs/>
          <w:sz w:val="22"/>
          <w:szCs w:val="22"/>
        </w:rPr>
        <w:t>n</w:t>
      </w:r>
      <w:r w:rsidRPr="7AA29AA8">
        <w:rPr>
          <w:sz w:val="22"/>
          <w:szCs w:val="22"/>
        </w:rPr>
        <w:t xml:space="preserve"> = 5 out of 15 IHCs; </w:t>
      </w:r>
      <w:proofErr w:type="spellStart"/>
      <w:r w:rsidRPr="00040DCF">
        <w:rPr>
          <w:iCs/>
          <w:sz w:val="22"/>
          <w:szCs w:val="22"/>
          <w:lang w:val="en-US"/>
        </w:rPr>
        <w:t>N</w:t>
      </w:r>
      <w:r w:rsidRPr="00040DCF">
        <w:rPr>
          <w:iCs/>
          <w:sz w:val="22"/>
          <w:szCs w:val="22"/>
          <w:vertAlign w:val="subscript"/>
          <w:lang w:val="en-US"/>
        </w:rPr>
        <w:t>animal</w:t>
      </w:r>
      <w:r w:rsidR="00CE4670" w:rsidRPr="00040DCF">
        <w:rPr>
          <w:iCs/>
          <w:sz w:val="22"/>
          <w:szCs w:val="22"/>
          <w:vertAlign w:val="subscript"/>
          <w:lang w:val="en-US"/>
        </w:rPr>
        <w:t>s</w:t>
      </w:r>
      <w:proofErr w:type="spellEnd"/>
      <w:r w:rsidRPr="7AA29AA8">
        <w:rPr>
          <w:sz w:val="22"/>
          <w:szCs w:val="22"/>
          <w:lang w:val="en-US"/>
        </w:rPr>
        <w:t xml:space="preserve"> </w:t>
      </w:r>
      <w:r w:rsidRPr="7AA29AA8">
        <w:rPr>
          <w:sz w:val="22"/>
          <w:szCs w:val="22"/>
        </w:rPr>
        <w:t xml:space="preserve">= 6, P16-P24) and with perforated-patch recordings with removal of SCs (red circle, </w:t>
      </w:r>
      <w:r w:rsidRPr="7AA29AA8">
        <w:rPr>
          <w:i/>
          <w:iCs/>
          <w:sz w:val="22"/>
          <w:szCs w:val="22"/>
        </w:rPr>
        <w:t>n</w:t>
      </w:r>
      <w:r w:rsidRPr="7AA29AA8">
        <w:rPr>
          <w:sz w:val="22"/>
          <w:szCs w:val="22"/>
        </w:rPr>
        <w:t xml:space="preserve"> = 5 out of 14 IHCs,</w:t>
      </w:r>
      <w:r w:rsidRPr="7AA29AA8">
        <w:rPr>
          <w:sz w:val="22"/>
          <w:szCs w:val="22"/>
          <w:lang w:val="en-US"/>
        </w:rPr>
        <w:t xml:space="preserve"> </w:t>
      </w:r>
      <w:proofErr w:type="spellStart"/>
      <w:r w:rsidRPr="00040DCF">
        <w:rPr>
          <w:iCs/>
          <w:sz w:val="22"/>
          <w:szCs w:val="22"/>
          <w:lang w:val="en-US"/>
        </w:rPr>
        <w:t>N</w:t>
      </w:r>
      <w:r w:rsidRPr="00040DCF">
        <w:rPr>
          <w:iCs/>
          <w:sz w:val="22"/>
          <w:szCs w:val="22"/>
          <w:vertAlign w:val="subscript"/>
          <w:lang w:val="en-US"/>
        </w:rPr>
        <w:t>animal</w:t>
      </w:r>
      <w:r w:rsidR="00CE4670" w:rsidRPr="00040DCF">
        <w:rPr>
          <w:iCs/>
          <w:sz w:val="22"/>
          <w:szCs w:val="22"/>
          <w:vertAlign w:val="subscript"/>
          <w:lang w:val="en-US"/>
        </w:rPr>
        <w:t>s</w:t>
      </w:r>
      <w:proofErr w:type="spellEnd"/>
      <w:r w:rsidRPr="000A1473">
        <w:rPr>
          <w:sz w:val="22"/>
          <w:szCs w:val="22"/>
        </w:rPr>
        <w:t xml:space="preserve"> </w:t>
      </w:r>
      <w:r w:rsidRPr="7AA29AA8">
        <w:rPr>
          <w:sz w:val="22"/>
          <w:szCs w:val="22"/>
        </w:rPr>
        <w:t>= 11, P15-P36). Linear fits are displayed</w:t>
      </w:r>
      <w:r w:rsidR="00D92572">
        <w:rPr>
          <w:sz w:val="22"/>
          <w:szCs w:val="22"/>
        </w:rPr>
        <w:t xml:space="preserve"> (Pearson correlation coefficient</w:t>
      </w:r>
      <w:r w:rsidR="006F1A31">
        <w:rPr>
          <w:sz w:val="22"/>
          <w:szCs w:val="22"/>
        </w:rPr>
        <w:t xml:space="preserve"> for ruptured-patch with minimal cleaning</w:t>
      </w:r>
      <w:r w:rsidR="00D92572">
        <w:rPr>
          <w:sz w:val="22"/>
          <w:szCs w:val="22"/>
        </w:rPr>
        <w:t xml:space="preserve">: </w:t>
      </w:r>
      <w:proofErr w:type="spellStart"/>
      <w:r w:rsidR="006F1A31">
        <w:rPr>
          <w:sz w:val="22"/>
          <w:szCs w:val="22"/>
        </w:rPr>
        <w:t>I</w:t>
      </w:r>
      <w:r w:rsidR="006F1A31" w:rsidRPr="006F1A31">
        <w:rPr>
          <w:sz w:val="22"/>
          <w:szCs w:val="22"/>
          <w:vertAlign w:val="subscript"/>
        </w:rPr>
        <w:t>CaMax</w:t>
      </w:r>
      <w:proofErr w:type="spellEnd"/>
      <w:r w:rsidR="006F1A31">
        <w:rPr>
          <w:sz w:val="22"/>
          <w:szCs w:val="22"/>
        </w:rPr>
        <w:t>:</w:t>
      </w:r>
      <w:r w:rsidR="000A1473">
        <w:rPr>
          <w:sz w:val="22"/>
          <w:szCs w:val="22"/>
        </w:rPr>
        <w:t xml:space="preserve"> </w:t>
      </w:r>
      <w:r w:rsidR="00D92572">
        <w:rPr>
          <w:sz w:val="22"/>
          <w:szCs w:val="22"/>
        </w:rPr>
        <w:t>r = -0.</w:t>
      </w:r>
      <w:r w:rsidR="006F1A31">
        <w:rPr>
          <w:sz w:val="22"/>
          <w:szCs w:val="22"/>
        </w:rPr>
        <w:t>88</w:t>
      </w:r>
      <w:r w:rsidR="00D92572">
        <w:rPr>
          <w:sz w:val="22"/>
          <w:szCs w:val="22"/>
        </w:rPr>
        <w:t>, p = 0.00</w:t>
      </w:r>
      <w:r w:rsidR="006F1A31">
        <w:rPr>
          <w:sz w:val="22"/>
          <w:szCs w:val="22"/>
        </w:rPr>
        <w:t xml:space="preserve">01, </w:t>
      </w:r>
      <w:proofErr w:type="spellStart"/>
      <w:r w:rsidR="006F1A31">
        <w:rPr>
          <w:sz w:val="22"/>
          <w:szCs w:val="22"/>
        </w:rPr>
        <w:t>I</w:t>
      </w:r>
      <w:r w:rsidR="006F1A31" w:rsidRPr="006F1A31">
        <w:rPr>
          <w:sz w:val="22"/>
          <w:szCs w:val="22"/>
          <w:vertAlign w:val="subscript"/>
        </w:rPr>
        <w:t>rest</w:t>
      </w:r>
      <w:proofErr w:type="spellEnd"/>
      <w:r w:rsidR="006F1A31">
        <w:rPr>
          <w:sz w:val="22"/>
          <w:szCs w:val="22"/>
        </w:rPr>
        <w:t xml:space="preserve">: r = -0.93, p &lt; 0.0001; for perforated-patch with minimal cleaning: </w:t>
      </w:r>
      <w:proofErr w:type="spellStart"/>
      <w:r w:rsidR="006F1A31">
        <w:rPr>
          <w:sz w:val="22"/>
          <w:szCs w:val="22"/>
        </w:rPr>
        <w:t>I</w:t>
      </w:r>
      <w:r w:rsidR="006F1A31" w:rsidRPr="006F1A31">
        <w:rPr>
          <w:sz w:val="22"/>
          <w:szCs w:val="22"/>
          <w:vertAlign w:val="subscript"/>
        </w:rPr>
        <w:t>CaMax</w:t>
      </w:r>
      <w:proofErr w:type="spellEnd"/>
      <w:r w:rsidR="006F1A31">
        <w:rPr>
          <w:sz w:val="22"/>
          <w:szCs w:val="22"/>
        </w:rPr>
        <w:t>:</w:t>
      </w:r>
      <w:r w:rsidR="000A1473">
        <w:rPr>
          <w:sz w:val="22"/>
          <w:szCs w:val="22"/>
        </w:rPr>
        <w:t xml:space="preserve"> </w:t>
      </w:r>
      <w:r w:rsidR="006F1A31">
        <w:rPr>
          <w:sz w:val="22"/>
          <w:szCs w:val="22"/>
        </w:rPr>
        <w:t xml:space="preserve">r = -0.79, p = 0.0052, </w:t>
      </w:r>
      <w:proofErr w:type="spellStart"/>
      <w:r w:rsidR="006F1A31">
        <w:rPr>
          <w:sz w:val="22"/>
          <w:szCs w:val="22"/>
        </w:rPr>
        <w:t>I</w:t>
      </w:r>
      <w:r w:rsidR="006F1A31" w:rsidRPr="006F1A31">
        <w:rPr>
          <w:sz w:val="22"/>
          <w:szCs w:val="22"/>
          <w:vertAlign w:val="subscript"/>
        </w:rPr>
        <w:t>rest</w:t>
      </w:r>
      <w:proofErr w:type="spellEnd"/>
      <w:r w:rsidR="006F1A31">
        <w:rPr>
          <w:sz w:val="22"/>
          <w:szCs w:val="22"/>
        </w:rPr>
        <w:t>: r = -0.55, p &lt; 0.21)</w:t>
      </w:r>
      <w:r w:rsidRPr="7AA29AA8">
        <w:rPr>
          <w:sz w:val="22"/>
          <w:szCs w:val="22"/>
        </w:rPr>
        <w:t xml:space="preserve">. </w:t>
      </w:r>
      <w:r w:rsidRPr="7AA29AA8">
        <w:rPr>
          <w:i/>
          <w:iCs/>
          <w:sz w:val="22"/>
          <w:szCs w:val="22"/>
        </w:rPr>
        <w:t>Abbreviations: DIC</w:t>
      </w:r>
      <w:r w:rsidRPr="7AA29AA8">
        <w:rPr>
          <w:sz w:val="22"/>
          <w:szCs w:val="22"/>
        </w:rPr>
        <w:t xml:space="preserve">, differential interference contrast, </w:t>
      </w:r>
      <w:r w:rsidRPr="7AA29AA8">
        <w:rPr>
          <w:i/>
          <w:iCs/>
          <w:sz w:val="22"/>
          <w:szCs w:val="22"/>
        </w:rPr>
        <w:t>IHC</w:t>
      </w:r>
      <w:r w:rsidRPr="7AA29AA8">
        <w:rPr>
          <w:sz w:val="22"/>
          <w:szCs w:val="22"/>
        </w:rPr>
        <w:t xml:space="preserve">, inner hair cell; </w:t>
      </w:r>
      <w:r w:rsidRPr="7AA29AA8">
        <w:rPr>
          <w:i/>
          <w:iCs/>
          <w:sz w:val="22"/>
          <w:szCs w:val="22"/>
        </w:rPr>
        <w:t>ISC</w:t>
      </w:r>
      <w:r w:rsidRPr="7AA29AA8">
        <w:rPr>
          <w:sz w:val="22"/>
          <w:szCs w:val="22"/>
        </w:rPr>
        <w:t xml:space="preserve">, inner sulcus cell; </w:t>
      </w:r>
      <w:r w:rsidRPr="7AA29AA8">
        <w:rPr>
          <w:i/>
          <w:iCs/>
          <w:sz w:val="22"/>
          <w:szCs w:val="22"/>
        </w:rPr>
        <w:t>SC</w:t>
      </w:r>
      <w:r w:rsidRPr="7AA29AA8">
        <w:rPr>
          <w:sz w:val="22"/>
          <w:szCs w:val="22"/>
        </w:rPr>
        <w:t>, supporting cell.</w:t>
      </w:r>
    </w:p>
    <w:p w14:paraId="3C8AC7F9" w14:textId="77777777" w:rsidR="0094368E" w:rsidRPr="00CC3DB5" w:rsidRDefault="0094368E" w:rsidP="00800C1B">
      <w:pPr>
        <w:jc w:val="both"/>
        <w:rPr>
          <w:sz w:val="22"/>
          <w:szCs w:val="22"/>
          <w:lang w:val="en-US"/>
        </w:rPr>
      </w:pPr>
    </w:p>
    <w:p w14:paraId="778EC10F" w14:textId="6CECA93C" w:rsidR="00D34B71" w:rsidRPr="00CC3DB5" w:rsidRDefault="00E00019" w:rsidP="00D34B71">
      <w:pPr>
        <w:spacing w:before="100" w:beforeAutospacing="1" w:after="100" w:afterAutospacing="1"/>
        <w:jc w:val="both"/>
        <w:rPr>
          <w:rFonts w:ascii="Calibri" w:hAnsi="Calibri"/>
          <w:lang w:val="x-none" w:eastAsia="en-GB"/>
        </w:rPr>
      </w:pPr>
      <w:r w:rsidRPr="00CC3DB5">
        <w:rPr>
          <w:rFonts w:ascii="Calibri" w:hAnsi="Calibri"/>
          <w:noProof/>
          <w:lang w:eastAsia="en-GB"/>
        </w:rPr>
        <w:lastRenderedPageBreak/>
        <w:drawing>
          <wp:inline distT="0" distB="0" distL="0" distR="0" wp14:anchorId="335BCCA4" wp14:editId="633403F8">
            <wp:extent cx="5760720" cy="2496820"/>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2496820"/>
                    </a:xfrm>
                    <a:prstGeom prst="rect">
                      <a:avLst/>
                    </a:prstGeom>
                    <a:noFill/>
                    <a:ln>
                      <a:noFill/>
                    </a:ln>
                  </pic:spPr>
                </pic:pic>
              </a:graphicData>
            </a:graphic>
          </wp:inline>
        </w:drawing>
      </w:r>
    </w:p>
    <w:p w14:paraId="4EC04D5E" w14:textId="7967D5EA" w:rsidR="00595688" w:rsidRPr="00CC3DB5" w:rsidRDefault="7AA29AA8" w:rsidP="7AA29AA8">
      <w:pPr>
        <w:spacing w:before="100" w:beforeAutospacing="1" w:after="100" w:afterAutospacing="1" w:line="240" w:lineRule="auto"/>
        <w:jc w:val="both"/>
        <w:outlineLvl w:val="0"/>
        <w:rPr>
          <w:sz w:val="22"/>
          <w:szCs w:val="22"/>
        </w:rPr>
      </w:pPr>
      <w:r w:rsidRPr="7AA29AA8">
        <w:rPr>
          <w:b/>
          <w:bCs/>
          <w:sz w:val="22"/>
          <w:szCs w:val="22"/>
          <w:lang w:val="en-US"/>
        </w:rPr>
        <w:t>Supplementary figure</w:t>
      </w:r>
      <w:r w:rsidR="00F018BD">
        <w:rPr>
          <w:b/>
          <w:bCs/>
          <w:sz w:val="22"/>
          <w:szCs w:val="22"/>
          <w:lang w:val="en-US"/>
        </w:rPr>
        <w:t xml:space="preserve"> </w:t>
      </w:r>
      <w:r w:rsidRPr="7AA29AA8">
        <w:rPr>
          <w:b/>
          <w:bCs/>
          <w:sz w:val="22"/>
          <w:szCs w:val="22"/>
        </w:rPr>
        <w:t>5</w:t>
      </w:r>
      <w:r w:rsidRPr="7AA29AA8">
        <w:rPr>
          <w:b/>
          <w:bCs/>
          <w:sz w:val="22"/>
          <w:szCs w:val="22"/>
          <w:lang w:val="en-US"/>
        </w:rPr>
        <w:t xml:space="preserve">. </w:t>
      </w:r>
      <w:proofErr w:type="spellStart"/>
      <w:r w:rsidRPr="7AA29AA8">
        <w:rPr>
          <w:b/>
          <w:bCs/>
          <w:sz w:val="22"/>
          <w:szCs w:val="22"/>
        </w:rPr>
        <w:t>Cesium</w:t>
      </w:r>
      <w:proofErr w:type="spellEnd"/>
      <w:r w:rsidRPr="7AA29AA8">
        <w:rPr>
          <w:b/>
          <w:bCs/>
          <w:sz w:val="22"/>
          <w:szCs w:val="22"/>
        </w:rPr>
        <w:t xml:space="preserve"> outward currents increase with the number of dye-coupled IHCs</w:t>
      </w:r>
      <w:r w:rsidRPr="7AA29AA8">
        <w:rPr>
          <w:b/>
          <w:bCs/>
          <w:sz w:val="22"/>
          <w:szCs w:val="22"/>
          <w:lang w:val="en-US"/>
        </w:rPr>
        <w:t xml:space="preserve">. </w:t>
      </w:r>
      <w:proofErr w:type="spellStart"/>
      <w:r w:rsidRPr="7AA29AA8">
        <w:rPr>
          <w:sz w:val="22"/>
          <w:szCs w:val="22"/>
        </w:rPr>
        <w:t>Analyzing</w:t>
      </w:r>
      <w:proofErr w:type="spellEnd"/>
      <w:r w:rsidRPr="7AA29AA8">
        <w:rPr>
          <w:sz w:val="22"/>
          <w:szCs w:val="22"/>
        </w:rPr>
        <w:t xml:space="preserve"> dye and electrical IHC coupling in temporal bone preparation, using 2PLSM imaging of OGB5N-loaded IHCs (top panel) and IHC recordings of </w:t>
      </w:r>
      <w:r w:rsidRPr="7AA29AA8">
        <w:rPr>
          <w:sz w:val="22"/>
          <w:szCs w:val="22"/>
          <w:lang w:val="en-US"/>
        </w:rPr>
        <w:t>C</w:t>
      </w:r>
      <w:r w:rsidRPr="7AA29AA8">
        <w:rPr>
          <w:sz w:val="22"/>
          <w:szCs w:val="22"/>
        </w:rPr>
        <w:t>s</w:t>
      </w:r>
      <w:r w:rsidRPr="7AA29AA8">
        <w:rPr>
          <w:sz w:val="22"/>
          <w:szCs w:val="22"/>
          <w:vertAlign w:val="superscript"/>
          <w:lang w:val="en-US"/>
        </w:rPr>
        <w:t>+</w:t>
      </w:r>
      <w:r w:rsidRPr="7AA29AA8">
        <w:rPr>
          <w:sz w:val="22"/>
          <w:szCs w:val="22"/>
          <w:lang w:val="en-US"/>
        </w:rPr>
        <w:t>-</w:t>
      </w:r>
      <w:r w:rsidRPr="7AA29AA8">
        <w:rPr>
          <w:sz w:val="22"/>
          <w:szCs w:val="22"/>
        </w:rPr>
        <w:t xml:space="preserve">mediated outward currents (middle panel) in response to 100 ms long depolarizations (in 10 mV increments, bottom panel) from a holding potential of -60 mV. As shown for a sample of </w:t>
      </w:r>
      <w:r w:rsidRPr="7AA29AA8">
        <w:rPr>
          <w:i/>
          <w:iCs/>
          <w:sz w:val="22"/>
          <w:szCs w:val="22"/>
        </w:rPr>
        <w:t>n</w:t>
      </w:r>
      <w:r w:rsidRPr="7AA29AA8">
        <w:rPr>
          <w:sz w:val="22"/>
          <w:szCs w:val="22"/>
        </w:rPr>
        <w:t xml:space="preserve"> = 56 distinct experiments and quantified in Fig. S6, the maximal Cs</w:t>
      </w:r>
      <w:r w:rsidRPr="7AA29AA8">
        <w:rPr>
          <w:sz w:val="22"/>
          <w:szCs w:val="22"/>
          <w:vertAlign w:val="superscript"/>
        </w:rPr>
        <w:t>+</w:t>
      </w:r>
      <w:r w:rsidRPr="7AA29AA8">
        <w:rPr>
          <w:sz w:val="22"/>
          <w:szCs w:val="22"/>
        </w:rPr>
        <w:t xml:space="preserve"> current </w:t>
      </w:r>
      <w:r w:rsidRPr="7AA29AA8">
        <w:rPr>
          <w:sz w:val="22"/>
          <w:szCs w:val="22"/>
          <w:lang w:val="en-US"/>
        </w:rPr>
        <w:t>increase</w:t>
      </w:r>
      <w:r w:rsidRPr="7AA29AA8">
        <w:rPr>
          <w:sz w:val="22"/>
          <w:szCs w:val="22"/>
        </w:rPr>
        <w:t>s</w:t>
      </w:r>
      <w:r w:rsidRPr="7AA29AA8">
        <w:rPr>
          <w:sz w:val="22"/>
          <w:szCs w:val="22"/>
          <w:lang w:val="en-US"/>
        </w:rPr>
        <w:t xml:space="preserve"> with the number of dye-filled IHCs</w:t>
      </w:r>
      <w:r w:rsidRPr="7AA29AA8">
        <w:rPr>
          <w:sz w:val="22"/>
          <w:szCs w:val="22"/>
        </w:rPr>
        <w:t>, indicating a partial summation over the currents of the coupled IHCs</w:t>
      </w:r>
      <w:r w:rsidRPr="7AA29AA8">
        <w:rPr>
          <w:sz w:val="22"/>
          <w:szCs w:val="22"/>
          <w:lang w:val="en-US"/>
        </w:rPr>
        <w:t>.</w:t>
      </w:r>
      <w:r w:rsidRPr="7AA29AA8">
        <w:rPr>
          <w:sz w:val="22"/>
          <w:szCs w:val="22"/>
        </w:rPr>
        <w:t xml:space="preserve"> We note that the recordings underestimate the true currents due to voltage drops over the series resistance to the patched IHC and the junctional resistance among the coupled cells.</w:t>
      </w:r>
    </w:p>
    <w:p w14:paraId="7E5E1EAA" w14:textId="43A0733A" w:rsidR="00096BAD" w:rsidRPr="00CC3DB5" w:rsidRDefault="00595688" w:rsidP="00096BAD">
      <w:pPr>
        <w:spacing w:before="100" w:beforeAutospacing="1" w:after="100" w:afterAutospacing="1"/>
        <w:jc w:val="both"/>
        <w:rPr>
          <w:sz w:val="22"/>
          <w:szCs w:val="22"/>
        </w:rPr>
      </w:pPr>
      <w:r w:rsidRPr="00CC3DB5">
        <w:rPr>
          <w:noProof/>
          <w:sz w:val="22"/>
          <w:szCs w:val="22"/>
          <w:lang w:eastAsia="en-GB"/>
        </w:rPr>
        <w:drawing>
          <wp:inline distT="0" distB="0" distL="0" distR="0" wp14:anchorId="2B0FB521" wp14:editId="475ACF83">
            <wp:extent cx="3495549" cy="2722548"/>
            <wp:effectExtent l="0" t="0" r="1016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3.jpg"/>
                    <pic:cNvPicPr/>
                  </pic:nvPicPr>
                  <pic:blipFill rotWithShape="1">
                    <a:blip r:embed="rId16" cstate="print">
                      <a:extLst>
                        <a:ext uri="{28A0092B-C50C-407E-A947-70E740481C1C}">
                          <a14:useLocalDpi xmlns:a14="http://schemas.microsoft.com/office/drawing/2010/main" val="0"/>
                        </a:ext>
                      </a:extLst>
                    </a:blip>
                    <a:srcRect r="9893"/>
                    <a:stretch/>
                  </pic:blipFill>
                  <pic:spPr bwMode="auto">
                    <a:xfrm>
                      <a:off x="0" y="0"/>
                      <a:ext cx="3501410" cy="2727113"/>
                    </a:xfrm>
                    <a:prstGeom prst="rect">
                      <a:avLst/>
                    </a:prstGeom>
                    <a:ln>
                      <a:noFill/>
                    </a:ln>
                    <a:extLst>
                      <a:ext uri="{53640926-AAD7-44D8-BBD7-CCE9431645EC}">
                        <a14:shadowObscured xmlns:a14="http://schemas.microsoft.com/office/drawing/2010/main"/>
                      </a:ext>
                    </a:extLst>
                  </pic:spPr>
                </pic:pic>
              </a:graphicData>
            </a:graphic>
          </wp:inline>
        </w:drawing>
      </w:r>
    </w:p>
    <w:p w14:paraId="6052C819" w14:textId="1F6B89F4" w:rsidR="00595688" w:rsidRPr="00CC3DB5" w:rsidRDefault="7AA29AA8" w:rsidP="7AA29AA8">
      <w:pPr>
        <w:spacing w:before="100" w:beforeAutospacing="1" w:after="100" w:afterAutospacing="1" w:line="240" w:lineRule="auto"/>
        <w:jc w:val="both"/>
        <w:outlineLvl w:val="0"/>
        <w:rPr>
          <w:sz w:val="22"/>
          <w:szCs w:val="22"/>
        </w:rPr>
      </w:pPr>
      <w:r w:rsidRPr="7AA29AA8">
        <w:rPr>
          <w:b/>
          <w:bCs/>
          <w:sz w:val="22"/>
          <w:szCs w:val="22"/>
        </w:rPr>
        <w:t>Supplementary figure</w:t>
      </w:r>
      <w:r w:rsidR="00D92572">
        <w:rPr>
          <w:b/>
          <w:bCs/>
          <w:sz w:val="22"/>
          <w:szCs w:val="22"/>
        </w:rPr>
        <w:t xml:space="preserve"> </w:t>
      </w:r>
      <w:r w:rsidRPr="7AA29AA8">
        <w:rPr>
          <w:b/>
          <w:bCs/>
          <w:sz w:val="22"/>
          <w:szCs w:val="22"/>
        </w:rPr>
        <w:t xml:space="preserve">6. IHC membrane conductances increase with the number of dye-coupled IHCs. </w:t>
      </w:r>
      <w:r w:rsidRPr="7AA29AA8">
        <w:rPr>
          <w:sz w:val="22"/>
          <w:szCs w:val="22"/>
        </w:rPr>
        <w:t>Membrane slope conductances (G</w:t>
      </w:r>
      <w:r w:rsidRPr="7AA29AA8">
        <w:rPr>
          <w:sz w:val="22"/>
          <w:szCs w:val="22"/>
          <w:vertAlign w:val="subscript"/>
        </w:rPr>
        <w:t>m</w:t>
      </w:r>
      <w:r w:rsidRPr="7AA29AA8">
        <w:rPr>
          <w:sz w:val="22"/>
          <w:szCs w:val="22"/>
        </w:rPr>
        <w:t>) at the holding potential -60 mV and at +20 mV from I-Vs for positively identified uncoupled and coupled cells. All the data was collected within 60 s of whole cell break-in with Cs</w:t>
      </w:r>
      <w:r w:rsidRPr="7AA29AA8">
        <w:rPr>
          <w:sz w:val="22"/>
          <w:szCs w:val="22"/>
          <w:vertAlign w:val="superscript"/>
        </w:rPr>
        <w:t>+</w:t>
      </w:r>
      <w:r w:rsidRPr="7AA29AA8">
        <w:rPr>
          <w:sz w:val="22"/>
          <w:szCs w:val="22"/>
        </w:rPr>
        <w:t xml:space="preserve"> as the major pipette cation. The membrane slope conductance at -60 mV, increasing with the number of coupled cells, is a good estimator of the effect of coupling. In this sample, using internal Cs</w:t>
      </w:r>
      <w:r w:rsidRPr="7AA29AA8">
        <w:rPr>
          <w:sz w:val="22"/>
          <w:szCs w:val="22"/>
          <w:vertAlign w:val="superscript"/>
        </w:rPr>
        <w:t>+</w:t>
      </w:r>
      <w:r w:rsidRPr="7AA29AA8">
        <w:rPr>
          <w:sz w:val="22"/>
          <w:szCs w:val="22"/>
        </w:rPr>
        <w:t xml:space="preserve">, </w:t>
      </w:r>
      <w:proofErr w:type="gramStart"/>
      <w:r w:rsidRPr="7AA29AA8">
        <w:rPr>
          <w:sz w:val="22"/>
          <w:szCs w:val="22"/>
        </w:rPr>
        <w:t>G</w:t>
      </w:r>
      <w:r w:rsidRPr="7AA29AA8">
        <w:rPr>
          <w:sz w:val="22"/>
          <w:szCs w:val="22"/>
          <w:vertAlign w:val="subscript"/>
        </w:rPr>
        <w:t xml:space="preserve">m  </w:t>
      </w:r>
      <w:r w:rsidRPr="7AA29AA8">
        <w:rPr>
          <w:sz w:val="22"/>
          <w:szCs w:val="22"/>
        </w:rPr>
        <w:t>=</w:t>
      </w:r>
      <w:proofErr w:type="gramEnd"/>
      <w:r w:rsidRPr="7AA29AA8">
        <w:rPr>
          <w:sz w:val="22"/>
          <w:szCs w:val="22"/>
        </w:rPr>
        <w:t xml:space="preserve"> 2.05 </w:t>
      </w:r>
      <w:r w:rsidRPr="7AA29AA8">
        <w:rPr>
          <w:rFonts w:cstheme="minorBidi"/>
          <w:sz w:val="22"/>
          <w:szCs w:val="22"/>
        </w:rPr>
        <w:t>±</w:t>
      </w:r>
      <w:r w:rsidRPr="7AA29AA8">
        <w:rPr>
          <w:sz w:val="22"/>
          <w:szCs w:val="22"/>
        </w:rPr>
        <w:t xml:space="preserve"> 1.25 </w:t>
      </w:r>
      <w:proofErr w:type="spellStart"/>
      <w:r w:rsidRPr="7AA29AA8">
        <w:rPr>
          <w:sz w:val="22"/>
          <w:szCs w:val="22"/>
        </w:rPr>
        <w:t>nS</w:t>
      </w:r>
      <w:proofErr w:type="spellEnd"/>
      <w:r w:rsidRPr="7AA29AA8">
        <w:rPr>
          <w:sz w:val="22"/>
          <w:szCs w:val="22"/>
        </w:rPr>
        <w:t xml:space="preserve"> (mean </w:t>
      </w:r>
      <w:r w:rsidRPr="7AA29AA8">
        <w:rPr>
          <w:rFonts w:cstheme="minorBidi"/>
          <w:sz w:val="22"/>
          <w:szCs w:val="22"/>
        </w:rPr>
        <w:t xml:space="preserve">± </w:t>
      </w:r>
      <w:r w:rsidRPr="7AA29AA8">
        <w:rPr>
          <w:sz w:val="22"/>
          <w:szCs w:val="22"/>
        </w:rPr>
        <w:t xml:space="preserve">SD, </w:t>
      </w:r>
      <w:r w:rsidRPr="7AA29AA8">
        <w:rPr>
          <w:i/>
          <w:iCs/>
          <w:sz w:val="22"/>
          <w:szCs w:val="22"/>
        </w:rPr>
        <w:t>n</w:t>
      </w:r>
      <w:r w:rsidRPr="7AA29AA8">
        <w:rPr>
          <w:sz w:val="22"/>
          <w:szCs w:val="22"/>
        </w:rPr>
        <w:t xml:space="preserve"> = 25 uncoupled cells) at -60 mV. Preliminary data using K</w:t>
      </w:r>
      <w:r w:rsidRPr="7AA29AA8">
        <w:rPr>
          <w:sz w:val="22"/>
          <w:szCs w:val="22"/>
          <w:vertAlign w:val="superscript"/>
        </w:rPr>
        <w:t>+</w:t>
      </w:r>
      <w:r w:rsidRPr="7AA29AA8">
        <w:rPr>
          <w:sz w:val="22"/>
          <w:szCs w:val="22"/>
        </w:rPr>
        <w:t xml:space="preserve"> as the major pipette cation did not permit the sufficient voltage-clamp control to estimate G</w:t>
      </w:r>
      <w:r w:rsidRPr="7AA29AA8">
        <w:rPr>
          <w:sz w:val="22"/>
          <w:szCs w:val="22"/>
          <w:vertAlign w:val="subscript"/>
        </w:rPr>
        <w:t>m</w:t>
      </w:r>
      <w:r w:rsidRPr="7AA29AA8">
        <w:rPr>
          <w:sz w:val="22"/>
          <w:szCs w:val="22"/>
        </w:rPr>
        <w:t xml:space="preserve"> at +20 mV. Dashed lines show regression fits, with slopes significantly </w:t>
      </w:r>
      <w:r w:rsidRPr="7AA29AA8">
        <w:rPr>
          <w:sz w:val="22"/>
          <w:szCs w:val="22"/>
        </w:rPr>
        <w:lastRenderedPageBreak/>
        <w:t xml:space="preserve">different from 0 </w:t>
      </w:r>
      <w:proofErr w:type="spellStart"/>
      <w:r w:rsidRPr="7AA29AA8">
        <w:rPr>
          <w:sz w:val="22"/>
          <w:szCs w:val="22"/>
        </w:rPr>
        <w:t>nS</w:t>
      </w:r>
      <w:proofErr w:type="spellEnd"/>
      <w:r w:rsidRPr="7AA29AA8">
        <w:rPr>
          <w:sz w:val="22"/>
          <w:szCs w:val="22"/>
        </w:rPr>
        <w:t>/#cell (</w:t>
      </w:r>
      <w:r w:rsidR="00D92572" w:rsidRPr="00040DCF">
        <w:rPr>
          <w:sz w:val="22"/>
          <w:szCs w:val="22"/>
        </w:rPr>
        <w:t>Pearson correlation coefficient</w:t>
      </w:r>
      <w:r w:rsidR="00D92572" w:rsidRPr="00D92572">
        <w:rPr>
          <w:sz w:val="22"/>
          <w:szCs w:val="22"/>
        </w:rPr>
        <w:t>: r = -0.78 @ -60mV and -0.77 @ +20 mV,</w:t>
      </w:r>
      <w:r w:rsidR="00D92572">
        <w:rPr>
          <w:sz w:val="22"/>
          <w:szCs w:val="22"/>
        </w:rPr>
        <w:t xml:space="preserve"> </w:t>
      </w:r>
      <w:r w:rsidRPr="7AA29AA8">
        <w:rPr>
          <w:sz w:val="22"/>
          <w:szCs w:val="22"/>
        </w:rPr>
        <w:t>p&lt;0.05).</w:t>
      </w:r>
    </w:p>
    <w:p w14:paraId="75B08310" w14:textId="2E2085F7" w:rsidR="00800C1B" w:rsidRPr="00CC3DB5" w:rsidRDefault="00104B55" w:rsidP="00800C1B">
      <w:pPr>
        <w:jc w:val="both"/>
        <w:rPr>
          <w:b/>
          <w:sz w:val="22"/>
          <w:szCs w:val="22"/>
          <w:lang w:val="en-US"/>
        </w:rPr>
      </w:pPr>
      <w:r w:rsidRPr="00CC3DB5">
        <w:rPr>
          <w:b/>
          <w:noProof/>
          <w:sz w:val="22"/>
          <w:szCs w:val="22"/>
          <w:lang w:eastAsia="en-GB"/>
        </w:rPr>
        <w:drawing>
          <wp:inline distT="0" distB="0" distL="0" distR="0" wp14:anchorId="61E469B1" wp14:editId="7C24E2DF">
            <wp:extent cx="5686425" cy="5505450"/>
            <wp:effectExtent l="0" t="0" r="9525" b="0"/>
            <wp:docPr id="9" name="Image 10" descr="Fig S4 Blockers05111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 S4 Blockers051119-0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686425" cy="5505450"/>
                    </a:xfrm>
                    <a:prstGeom prst="rect">
                      <a:avLst/>
                    </a:prstGeom>
                    <a:noFill/>
                    <a:ln>
                      <a:noFill/>
                    </a:ln>
                  </pic:spPr>
                </pic:pic>
              </a:graphicData>
            </a:graphic>
          </wp:inline>
        </w:drawing>
      </w:r>
    </w:p>
    <w:p w14:paraId="151A5CB7" w14:textId="7E901BE0" w:rsidR="00800C1B" w:rsidRPr="00CC3DB5" w:rsidRDefault="7AA29AA8" w:rsidP="7AA29AA8">
      <w:pPr>
        <w:spacing w:line="240" w:lineRule="auto"/>
        <w:jc w:val="both"/>
        <w:rPr>
          <w:sz w:val="22"/>
          <w:szCs w:val="22"/>
          <w:lang w:val="en-US"/>
        </w:rPr>
      </w:pPr>
      <w:r w:rsidRPr="7AA29AA8">
        <w:rPr>
          <w:b/>
          <w:bCs/>
          <w:sz w:val="22"/>
          <w:szCs w:val="22"/>
          <w:lang w:val="en-US"/>
        </w:rPr>
        <w:t>Supplementary figure</w:t>
      </w:r>
      <w:r w:rsidR="00D92572">
        <w:rPr>
          <w:b/>
          <w:bCs/>
          <w:sz w:val="22"/>
          <w:szCs w:val="22"/>
          <w:lang w:val="en-US"/>
        </w:rPr>
        <w:t xml:space="preserve"> </w:t>
      </w:r>
      <w:r w:rsidRPr="7AA29AA8">
        <w:rPr>
          <w:b/>
          <w:bCs/>
          <w:sz w:val="22"/>
          <w:szCs w:val="22"/>
          <w:lang w:val="en-US"/>
        </w:rPr>
        <w:t xml:space="preserve">7. Electrical IHC-coupling is not prevented by GJ blockers and suramin. </w:t>
      </w:r>
      <w:r w:rsidRPr="7AA29AA8">
        <w:rPr>
          <w:sz w:val="22"/>
          <w:szCs w:val="22"/>
          <w:lang w:val="en-US"/>
        </w:rPr>
        <w:t>Ca</w:t>
      </w:r>
      <w:r w:rsidRPr="7AA29AA8">
        <w:rPr>
          <w:sz w:val="22"/>
          <w:szCs w:val="22"/>
          <w:vertAlign w:val="superscript"/>
          <w:lang w:val="en-US"/>
        </w:rPr>
        <w:t>2+</w:t>
      </w:r>
      <w:r w:rsidRPr="7AA29AA8">
        <w:rPr>
          <w:sz w:val="22"/>
          <w:szCs w:val="22"/>
          <w:lang w:val="en-US"/>
        </w:rPr>
        <w:t>-current voltage (IV) curves (a, c, e, g, I, k) were obtained by depolarizing IHCs from the holding voltage (-60 mV) with 5 mV steps before and during bath application of blockers. The presence of the blockers is marked with gray in the membrane capacitance (C</w:t>
      </w:r>
      <w:r w:rsidRPr="7AA29AA8">
        <w:rPr>
          <w:sz w:val="22"/>
          <w:szCs w:val="22"/>
          <w:vertAlign w:val="subscript"/>
          <w:lang w:val="en-US"/>
        </w:rPr>
        <w:t>m</w:t>
      </w:r>
      <w:r w:rsidRPr="7AA29AA8">
        <w:rPr>
          <w:sz w:val="22"/>
          <w:szCs w:val="22"/>
          <w:lang w:val="en-US"/>
        </w:rPr>
        <w:t xml:space="preserve">)-time and maximal </w:t>
      </w:r>
      <w:proofErr w:type="spellStart"/>
      <w:r w:rsidRPr="7AA29AA8">
        <w:rPr>
          <w:sz w:val="22"/>
          <w:szCs w:val="22"/>
          <w:lang w:val="en-US"/>
        </w:rPr>
        <w:t>I</w:t>
      </w:r>
      <w:r w:rsidRPr="7AA29AA8">
        <w:rPr>
          <w:sz w:val="22"/>
          <w:szCs w:val="22"/>
          <w:vertAlign w:val="subscript"/>
          <w:lang w:val="en-US"/>
        </w:rPr>
        <w:t>Ca</w:t>
      </w:r>
      <w:proofErr w:type="spellEnd"/>
      <w:r w:rsidRPr="7AA29AA8">
        <w:rPr>
          <w:sz w:val="22"/>
          <w:szCs w:val="22"/>
          <w:lang w:val="en-US"/>
        </w:rPr>
        <w:t xml:space="preserve"> (</w:t>
      </w:r>
      <w:proofErr w:type="spellStart"/>
      <w:r w:rsidRPr="7AA29AA8">
        <w:rPr>
          <w:sz w:val="22"/>
          <w:szCs w:val="22"/>
          <w:lang w:val="en-US"/>
        </w:rPr>
        <w:t>I</w:t>
      </w:r>
      <w:r w:rsidRPr="7AA29AA8">
        <w:rPr>
          <w:sz w:val="22"/>
          <w:szCs w:val="22"/>
          <w:vertAlign w:val="subscript"/>
          <w:lang w:val="en-US"/>
        </w:rPr>
        <w:t>CaMax</w:t>
      </w:r>
      <w:proofErr w:type="spellEnd"/>
      <w:r w:rsidRPr="7AA29AA8">
        <w:rPr>
          <w:sz w:val="22"/>
          <w:szCs w:val="22"/>
          <w:lang w:val="en-US"/>
        </w:rPr>
        <w:t>)-time plots (b, d, f, h, j, l). The recording time points of the presented IV curves are marked with t</w:t>
      </w:r>
      <w:r w:rsidRPr="7AA29AA8">
        <w:rPr>
          <w:sz w:val="22"/>
          <w:szCs w:val="22"/>
          <w:vertAlign w:val="subscript"/>
          <w:lang w:val="en-US"/>
        </w:rPr>
        <w:t>1</w:t>
      </w:r>
      <w:r w:rsidRPr="7AA29AA8">
        <w:rPr>
          <w:sz w:val="22"/>
          <w:szCs w:val="22"/>
          <w:lang w:val="en-US"/>
        </w:rPr>
        <w:t xml:space="preserve"> (for black curve) and t</w:t>
      </w:r>
      <w:r w:rsidRPr="7AA29AA8">
        <w:rPr>
          <w:sz w:val="22"/>
          <w:szCs w:val="22"/>
          <w:vertAlign w:val="subscript"/>
          <w:lang w:val="en-US"/>
        </w:rPr>
        <w:t>2</w:t>
      </w:r>
      <w:r w:rsidRPr="7AA29AA8">
        <w:rPr>
          <w:sz w:val="22"/>
          <w:szCs w:val="22"/>
          <w:lang w:val="en-US"/>
        </w:rPr>
        <w:t xml:space="preserve"> (for red curve) in the </w:t>
      </w:r>
      <w:proofErr w:type="spellStart"/>
      <w:r w:rsidRPr="7AA29AA8">
        <w:rPr>
          <w:sz w:val="22"/>
          <w:szCs w:val="22"/>
          <w:lang w:val="en-US"/>
        </w:rPr>
        <w:t>I</w:t>
      </w:r>
      <w:r w:rsidRPr="7AA29AA8">
        <w:rPr>
          <w:sz w:val="22"/>
          <w:szCs w:val="22"/>
          <w:vertAlign w:val="subscript"/>
          <w:lang w:val="en-US"/>
        </w:rPr>
        <w:t>CaMax</w:t>
      </w:r>
      <w:proofErr w:type="spellEnd"/>
      <w:r w:rsidRPr="7AA29AA8">
        <w:rPr>
          <w:sz w:val="22"/>
          <w:szCs w:val="22"/>
          <w:lang w:val="en-US"/>
        </w:rPr>
        <w:t xml:space="preserve">-time plots. The experiments were stopped when the patched IHC was lost. </w:t>
      </w:r>
      <w:r w:rsidRPr="7AA29AA8">
        <w:rPr>
          <w:b/>
          <w:bCs/>
          <w:sz w:val="22"/>
          <w:szCs w:val="22"/>
          <w:lang w:val="en-US"/>
        </w:rPr>
        <w:t>(a-h)</w:t>
      </w:r>
      <w:r w:rsidRPr="7AA29AA8">
        <w:rPr>
          <w:sz w:val="22"/>
          <w:szCs w:val="22"/>
          <w:lang w:val="en-US"/>
        </w:rPr>
        <w:t xml:space="preserve"> FFA (a, b) and OCT (e, f) inhibit </w:t>
      </w:r>
      <w:proofErr w:type="spellStart"/>
      <w:r w:rsidRPr="7AA29AA8">
        <w:rPr>
          <w:sz w:val="22"/>
          <w:szCs w:val="22"/>
          <w:lang w:val="en-US"/>
        </w:rPr>
        <w:t>I</w:t>
      </w:r>
      <w:r w:rsidRPr="7AA29AA8">
        <w:rPr>
          <w:sz w:val="22"/>
          <w:szCs w:val="22"/>
          <w:vertAlign w:val="subscript"/>
          <w:lang w:val="en-US"/>
        </w:rPr>
        <w:t>Ca</w:t>
      </w:r>
      <w:proofErr w:type="spellEnd"/>
      <w:r w:rsidRPr="7AA29AA8">
        <w:rPr>
          <w:sz w:val="22"/>
          <w:szCs w:val="22"/>
          <w:lang w:val="en-US"/>
        </w:rPr>
        <w:t xml:space="preserve"> of coupled IHCs without changing C</w:t>
      </w:r>
      <w:r w:rsidRPr="7AA29AA8">
        <w:rPr>
          <w:sz w:val="22"/>
          <w:szCs w:val="22"/>
          <w:vertAlign w:val="subscript"/>
          <w:lang w:val="en-US"/>
        </w:rPr>
        <w:t>m</w:t>
      </w:r>
      <w:r w:rsidRPr="7AA29AA8">
        <w:rPr>
          <w:sz w:val="22"/>
          <w:szCs w:val="22"/>
          <w:lang w:val="en-US"/>
        </w:rPr>
        <w:t xml:space="preserve">, as seen in these representative experiments. As similar results were obtained with uncoupled IHCs (c, d, g, h), the observed reduction of </w:t>
      </w:r>
      <w:proofErr w:type="spellStart"/>
      <w:r w:rsidRPr="7AA29AA8">
        <w:rPr>
          <w:sz w:val="22"/>
          <w:szCs w:val="22"/>
          <w:lang w:val="en-US"/>
        </w:rPr>
        <w:t>I</w:t>
      </w:r>
      <w:r w:rsidRPr="7AA29AA8">
        <w:rPr>
          <w:sz w:val="22"/>
          <w:szCs w:val="22"/>
          <w:vertAlign w:val="subscript"/>
          <w:lang w:val="en-US"/>
        </w:rPr>
        <w:t>Ca</w:t>
      </w:r>
      <w:proofErr w:type="spellEnd"/>
      <w:r w:rsidRPr="7AA29AA8">
        <w:rPr>
          <w:sz w:val="22"/>
          <w:szCs w:val="22"/>
          <w:lang w:val="en-US"/>
        </w:rPr>
        <w:t xml:space="preserve"> is not due to inhibition of IHC-coupling, but potentially due to the blockade of IHC Ca</w:t>
      </w:r>
      <w:r w:rsidRPr="7AA29AA8">
        <w:rPr>
          <w:sz w:val="22"/>
          <w:szCs w:val="22"/>
          <w:vertAlign w:val="superscript"/>
          <w:lang w:val="en-US"/>
        </w:rPr>
        <w:t>2+</w:t>
      </w:r>
      <w:r w:rsidRPr="7AA29AA8">
        <w:rPr>
          <w:sz w:val="22"/>
          <w:szCs w:val="22"/>
          <w:lang w:val="en-US"/>
        </w:rPr>
        <w:t xml:space="preserve"> channels. </w:t>
      </w:r>
      <w:r w:rsidRPr="7AA29AA8">
        <w:rPr>
          <w:b/>
          <w:bCs/>
          <w:sz w:val="22"/>
          <w:szCs w:val="22"/>
          <w:lang w:val="en-US"/>
        </w:rPr>
        <w:t>(</w:t>
      </w:r>
      <w:proofErr w:type="spellStart"/>
      <w:r w:rsidRPr="7AA29AA8">
        <w:rPr>
          <w:b/>
          <w:bCs/>
          <w:sz w:val="22"/>
          <w:szCs w:val="22"/>
          <w:lang w:val="en-US"/>
        </w:rPr>
        <w:t>i</w:t>
      </w:r>
      <w:proofErr w:type="spellEnd"/>
      <w:r w:rsidRPr="7AA29AA8">
        <w:rPr>
          <w:b/>
          <w:bCs/>
          <w:sz w:val="22"/>
          <w:szCs w:val="22"/>
          <w:lang w:val="en-US"/>
        </w:rPr>
        <w:t xml:space="preserve">-l) </w:t>
      </w:r>
      <w:r w:rsidRPr="7AA29AA8">
        <w:rPr>
          <w:sz w:val="22"/>
          <w:szCs w:val="22"/>
          <w:lang w:val="en-US"/>
        </w:rPr>
        <w:t xml:space="preserve">As can be seen from the </w:t>
      </w:r>
      <w:proofErr w:type="spellStart"/>
      <w:r w:rsidRPr="7AA29AA8">
        <w:rPr>
          <w:sz w:val="22"/>
          <w:szCs w:val="22"/>
          <w:lang w:val="en-US"/>
        </w:rPr>
        <w:t>I</w:t>
      </w:r>
      <w:r w:rsidRPr="7AA29AA8">
        <w:rPr>
          <w:sz w:val="22"/>
          <w:szCs w:val="22"/>
          <w:vertAlign w:val="subscript"/>
          <w:lang w:val="en-US"/>
        </w:rPr>
        <w:t>Ca</w:t>
      </w:r>
      <w:r w:rsidRPr="7AA29AA8">
        <w:rPr>
          <w:sz w:val="22"/>
          <w:szCs w:val="22"/>
          <w:lang w:val="en-US"/>
        </w:rPr>
        <w:t>-V</w:t>
      </w:r>
      <w:r w:rsidRPr="7AA29AA8">
        <w:rPr>
          <w:sz w:val="22"/>
          <w:szCs w:val="22"/>
          <w:vertAlign w:val="subscript"/>
          <w:lang w:val="en-US"/>
        </w:rPr>
        <w:t>m</w:t>
      </w:r>
      <w:proofErr w:type="spellEnd"/>
      <w:r w:rsidRPr="7AA29AA8">
        <w:rPr>
          <w:sz w:val="22"/>
          <w:szCs w:val="22"/>
          <w:lang w:val="en-US"/>
        </w:rPr>
        <w:t xml:space="preserve"> curves, C</w:t>
      </w:r>
      <w:r w:rsidRPr="7AA29AA8">
        <w:rPr>
          <w:sz w:val="22"/>
          <w:szCs w:val="22"/>
          <w:vertAlign w:val="subscript"/>
          <w:lang w:val="en-US"/>
        </w:rPr>
        <w:t>m</w:t>
      </w:r>
      <w:r w:rsidRPr="7AA29AA8">
        <w:rPr>
          <w:sz w:val="22"/>
          <w:szCs w:val="22"/>
          <w:lang w:val="en-US"/>
        </w:rPr>
        <w:t xml:space="preserve">-time, and </w:t>
      </w:r>
      <w:proofErr w:type="spellStart"/>
      <w:r w:rsidRPr="7AA29AA8">
        <w:rPr>
          <w:sz w:val="22"/>
          <w:szCs w:val="22"/>
          <w:lang w:val="en-US"/>
        </w:rPr>
        <w:t>I</w:t>
      </w:r>
      <w:r w:rsidRPr="7AA29AA8">
        <w:rPr>
          <w:sz w:val="22"/>
          <w:szCs w:val="22"/>
          <w:vertAlign w:val="subscript"/>
          <w:lang w:val="en-US"/>
        </w:rPr>
        <w:t>CaMax</w:t>
      </w:r>
      <w:proofErr w:type="spellEnd"/>
      <w:r w:rsidRPr="7AA29AA8">
        <w:rPr>
          <w:sz w:val="22"/>
          <w:szCs w:val="22"/>
          <w:lang w:val="en-US"/>
        </w:rPr>
        <w:t>-time plots of representative experiments, suramin does not have an obvious effect on C</w:t>
      </w:r>
      <w:r w:rsidRPr="7AA29AA8">
        <w:rPr>
          <w:sz w:val="22"/>
          <w:szCs w:val="22"/>
          <w:vertAlign w:val="subscript"/>
          <w:lang w:val="en-US"/>
        </w:rPr>
        <w:t>m</w:t>
      </w:r>
      <w:r w:rsidRPr="7AA29AA8">
        <w:rPr>
          <w:sz w:val="22"/>
          <w:szCs w:val="22"/>
          <w:lang w:val="en-US"/>
        </w:rPr>
        <w:t xml:space="preserve"> or </w:t>
      </w:r>
      <w:proofErr w:type="spellStart"/>
      <w:r w:rsidRPr="7AA29AA8">
        <w:rPr>
          <w:sz w:val="22"/>
          <w:szCs w:val="22"/>
          <w:lang w:val="en-US"/>
        </w:rPr>
        <w:t>I</w:t>
      </w:r>
      <w:r w:rsidRPr="7AA29AA8">
        <w:rPr>
          <w:sz w:val="22"/>
          <w:szCs w:val="22"/>
          <w:vertAlign w:val="subscript"/>
          <w:lang w:val="en-US"/>
        </w:rPr>
        <w:t>CaMax</w:t>
      </w:r>
      <w:proofErr w:type="spellEnd"/>
      <w:r w:rsidRPr="7AA29AA8">
        <w:rPr>
          <w:sz w:val="22"/>
          <w:szCs w:val="22"/>
          <w:lang w:val="en-US"/>
        </w:rPr>
        <w:t xml:space="preserve"> of coupled (</w:t>
      </w:r>
      <w:proofErr w:type="spellStart"/>
      <w:r w:rsidRPr="7AA29AA8">
        <w:rPr>
          <w:sz w:val="22"/>
          <w:szCs w:val="22"/>
          <w:lang w:val="en-US"/>
        </w:rPr>
        <w:t>i</w:t>
      </w:r>
      <w:proofErr w:type="spellEnd"/>
      <w:r w:rsidRPr="7AA29AA8">
        <w:rPr>
          <w:sz w:val="22"/>
          <w:szCs w:val="22"/>
          <w:lang w:val="en-US"/>
        </w:rPr>
        <w:t xml:space="preserve">, j) and single IHCs (k, l). </w:t>
      </w:r>
      <w:r w:rsidRPr="7AA29AA8">
        <w:rPr>
          <w:i/>
          <w:iCs/>
          <w:sz w:val="22"/>
          <w:szCs w:val="22"/>
          <w:lang w:val="en-US"/>
        </w:rPr>
        <w:t>Abbreviations: IHC</w:t>
      </w:r>
      <w:r w:rsidRPr="7AA29AA8">
        <w:rPr>
          <w:sz w:val="22"/>
          <w:szCs w:val="22"/>
          <w:lang w:val="en-US"/>
        </w:rPr>
        <w:t>, inner hair cell,</w:t>
      </w:r>
      <w:r w:rsidRPr="7AA29AA8">
        <w:rPr>
          <w:i/>
          <w:iCs/>
          <w:sz w:val="22"/>
          <w:szCs w:val="22"/>
          <w:lang w:val="en-US"/>
        </w:rPr>
        <w:t xml:space="preserve"> FFA</w:t>
      </w:r>
      <w:r w:rsidRPr="7AA29AA8">
        <w:rPr>
          <w:sz w:val="22"/>
          <w:szCs w:val="22"/>
          <w:lang w:val="en-US"/>
        </w:rPr>
        <w:t xml:space="preserve">, </w:t>
      </w:r>
      <w:proofErr w:type="spellStart"/>
      <w:r w:rsidRPr="7AA29AA8">
        <w:rPr>
          <w:sz w:val="22"/>
          <w:szCs w:val="22"/>
          <w:lang w:val="en-US"/>
        </w:rPr>
        <w:t>flufenamic</w:t>
      </w:r>
      <w:proofErr w:type="spellEnd"/>
      <w:r w:rsidRPr="7AA29AA8">
        <w:rPr>
          <w:sz w:val="22"/>
          <w:szCs w:val="22"/>
          <w:lang w:val="en-US"/>
        </w:rPr>
        <w:t xml:space="preserve"> acid; </w:t>
      </w:r>
      <w:r w:rsidRPr="7AA29AA8">
        <w:rPr>
          <w:i/>
          <w:iCs/>
          <w:sz w:val="22"/>
          <w:szCs w:val="22"/>
          <w:lang w:val="en-US"/>
        </w:rPr>
        <w:t>OCT</w:t>
      </w:r>
      <w:r w:rsidRPr="7AA29AA8">
        <w:rPr>
          <w:sz w:val="22"/>
          <w:szCs w:val="22"/>
          <w:lang w:val="en-US"/>
        </w:rPr>
        <w:t xml:space="preserve">, 1-octanol, </w:t>
      </w:r>
      <w:r w:rsidRPr="7AA29AA8">
        <w:rPr>
          <w:i/>
          <w:iCs/>
          <w:sz w:val="22"/>
          <w:szCs w:val="22"/>
          <w:lang w:val="en-US"/>
        </w:rPr>
        <w:t>SUR</w:t>
      </w:r>
      <w:r w:rsidRPr="7AA29AA8">
        <w:rPr>
          <w:sz w:val="22"/>
          <w:szCs w:val="22"/>
          <w:lang w:val="en-US"/>
        </w:rPr>
        <w:t xml:space="preserve">, suramin. </w:t>
      </w:r>
    </w:p>
    <w:p w14:paraId="2F639639" w14:textId="78801EE5" w:rsidR="00800C1B" w:rsidRPr="00CC3DB5" w:rsidRDefault="00800C1B" w:rsidP="00800C1B">
      <w:pPr>
        <w:jc w:val="both"/>
        <w:rPr>
          <w:sz w:val="22"/>
          <w:szCs w:val="22"/>
          <w:lang w:val="en-US"/>
        </w:rPr>
      </w:pPr>
    </w:p>
    <w:p w14:paraId="6A15D6A5" w14:textId="77777777" w:rsidR="00BB0C92" w:rsidRPr="00CC3DB5" w:rsidRDefault="00BB0C92" w:rsidP="00800C1B">
      <w:pPr>
        <w:jc w:val="both"/>
        <w:rPr>
          <w:sz w:val="22"/>
          <w:lang w:val="en-US"/>
        </w:rPr>
      </w:pPr>
    </w:p>
    <w:p w14:paraId="53AE0FAE" w14:textId="16C2DF86" w:rsidR="000144A8" w:rsidRPr="00CC3DB5" w:rsidRDefault="00300CCC" w:rsidP="7AA29AA8">
      <w:pPr>
        <w:spacing w:line="240" w:lineRule="auto"/>
        <w:jc w:val="both"/>
        <w:rPr>
          <w:sz w:val="22"/>
          <w:szCs w:val="22"/>
        </w:rPr>
      </w:pPr>
      <w:r>
        <w:rPr>
          <w:noProof/>
          <w:lang w:eastAsia="en-GB"/>
        </w:rPr>
        <w:lastRenderedPageBreak/>
        <w:drawing>
          <wp:inline distT="0" distB="0" distL="0" distR="0" wp14:anchorId="5F4FE69F" wp14:editId="55553C51">
            <wp:extent cx="5758178" cy="3874770"/>
            <wp:effectExtent l="0" t="0" r="0" b="0"/>
            <wp:docPr id="106255222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8">
                      <a:extLst>
                        <a:ext uri="{28A0092B-C50C-407E-A947-70E740481C1C}">
                          <a14:useLocalDpi xmlns:a14="http://schemas.microsoft.com/office/drawing/2010/main" val="0"/>
                        </a:ext>
                      </a:extLst>
                    </a:blip>
                    <a:stretch>
                      <a:fillRect/>
                    </a:stretch>
                  </pic:blipFill>
                  <pic:spPr>
                    <a:xfrm>
                      <a:off x="0" y="0"/>
                      <a:ext cx="5758178" cy="3874770"/>
                    </a:xfrm>
                    <a:prstGeom prst="rect">
                      <a:avLst/>
                    </a:prstGeom>
                  </pic:spPr>
                </pic:pic>
              </a:graphicData>
            </a:graphic>
          </wp:inline>
        </w:drawing>
      </w:r>
      <w:r w:rsidR="7AA29AA8" w:rsidRPr="7AA29AA8">
        <w:rPr>
          <w:b/>
          <w:bCs/>
          <w:sz w:val="22"/>
          <w:szCs w:val="22"/>
        </w:rPr>
        <w:t>Supplementary figure</w:t>
      </w:r>
      <w:r w:rsidR="00D92572">
        <w:rPr>
          <w:b/>
          <w:bCs/>
          <w:sz w:val="22"/>
          <w:szCs w:val="22"/>
        </w:rPr>
        <w:t xml:space="preserve"> </w:t>
      </w:r>
      <w:r w:rsidR="7AA29AA8" w:rsidRPr="7AA29AA8">
        <w:rPr>
          <w:b/>
          <w:bCs/>
          <w:sz w:val="22"/>
          <w:szCs w:val="22"/>
        </w:rPr>
        <w:t xml:space="preserve">8. FIB-SEM datasets containing putative fusion sites. </w:t>
      </w:r>
      <w:r w:rsidR="7AA29AA8" w:rsidRPr="7AA29AA8">
        <w:rPr>
          <w:sz w:val="22"/>
          <w:szCs w:val="22"/>
        </w:rPr>
        <w:t xml:space="preserve">Depicted are series of putative IHC fusion sites occurring in P16 </w:t>
      </w:r>
      <w:r w:rsidR="7AA29AA8" w:rsidRPr="7AA29AA8">
        <w:rPr>
          <w:b/>
          <w:bCs/>
          <w:sz w:val="22"/>
          <w:szCs w:val="22"/>
        </w:rPr>
        <w:t>(a)</w:t>
      </w:r>
      <w:r w:rsidR="7AA29AA8" w:rsidRPr="7AA29AA8">
        <w:rPr>
          <w:sz w:val="22"/>
          <w:szCs w:val="22"/>
        </w:rPr>
        <w:t xml:space="preserve"> and P37 </w:t>
      </w:r>
      <w:r w:rsidR="7AA29AA8" w:rsidRPr="7AA29AA8">
        <w:rPr>
          <w:b/>
          <w:bCs/>
          <w:sz w:val="22"/>
          <w:szCs w:val="22"/>
        </w:rPr>
        <w:t>(b)</w:t>
      </w:r>
      <w:r w:rsidR="7AA29AA8" w:rsidRPr="7AA29AA8">
        <w:rPr>
          <w:sz w:val="22"/>
          <w:szCs w:val="22"/>
        </w:rPr>
        <w:t xml:space="preserve"> IHCs. Single FIB-SEM micrographs show the opposing IHC membranes (highlighted in blue) forming contacts (P16, from a filopodium; P37, from flat contacts) that contain IHC fusion sites (white arrowheads). </w:t>
      </w:r>
      <w:r w:rsidR="009C58FA" w:rsidRPr="00CC3DB5">
        <w:rPr>
          <w:i/>
          <w:sz w:val="22"/>
          <w:szCs w:val="24"/>
        </w:rPr>
        <w:t>n</w:t>
      </w:r>
      <w:r w:rsidR="009C58FA" w:rsidRPr="00CC3DB5">
        <w:rPr>
          <w:sz w:val="22"/>
          <w:szCs w:val="24"/>
        </w:rPr>
        <w:t xml:space="preserve"> FIB-SEM run (P34/37) = 3, </w:t>
      </w:r>
      <w:proofErr w:type="spellStart"/>
      <w:r w:rsidR="009C58FA" w:rsidRPr="00040DCF">
        <w:rPr>
          <w:sz w:val="22"/>
          <w:szCs w:val="24"/>
        </w:rPr>
        <w:t>N</w:t>
      </w:r>
      <w:r w:rsidR="009C58FA" w:rsidRPr="00040DCF">
        <w:rPr>
          <w:sz w:val="22"/>
          <w:szCs w:val="24"/>
          <w:vertAlign w:val="subscript"/>
        </w:rPr>
        <w:t>animal</w:t>
      </w:r>
      <w:proofErr w:type="spellEnd"/>
      <w:r w:rsidR="009C58FA" w:rsidRPr="000A1473">
        <w:rPr>
          <w:sz w:val="22"/>
          <w:szCs w:val="24"/>
        </w:rPr>
        <w:t xml:space="preserve"> </w:t>
      </w:r>
      <w:r w:rsidR="009C58FA" w:rsidRPr="00CC3DB5">
        <w:rPr>
          <w:sz w:val="22"/>
          <w:szCs w:val="24"/>
        </w:rPr>
        <w:t xml:space="preserve">= 2; </w:t>
      </w:r>
      <w:r w:rsidR="009C58FA" w:rsidRPr="00CC3DB5">
        <w:rPr>
          <w:i/>
          <w:sz w:val="22"/>
          <w:szCs w:val="24"/>
        </w:rPr>
        <w:t>n</w:t>
      </w:r>
      <w:r w:rsidR="009C58FA" w:rsidRPr="00CC3DB5">
        <w:rPr>
          <w:sz w:val="22"/>
          <w:szCs w:val="24"/>
        </w:rPr>
        <w:t xml:space="preserve"> FIB-SEM run (P15/16) = 3, </w:t>
      </w:r>
      <w:proofErr w:type="spellStart"/>
      <w:r w:rsidR="009C58FA" w:rsidRPr="00040DCF">
        <w:rPr>
          <w:sz w:val="22"/>
          <w:szCs w:val="24"/>
        </w:rPr>
        <w:t>N</w:t>
      </w:r>
      <w:r w:rsidR="009C58FA" w:rsidRPr="00040DCF">
        <w:rPr>
          <w:sz w:val="22"/>
          <w:szCs w:val="24"/>
          <w:vertAlign w:val="subscript"/>
        </w:rPr>
        <w:t>animal</w:t>
      </w:r>
      <w:proofErr w:type="spellEnd"/>
      <w:r w:rsidR="009C58FA" w:rsidRPr="000A1473">
        <w:rPr>
          <w:sz w:val="22"/>
          <w:szCs w:val="24"/>
        </w:rPr>
        <w:t xml:space="preserve"> =</w:t>
      </w:r>
      <w:r w:rsidR="009C58FA" w:rsidRPr="00CC3DB5">
        <w:rPr>
          <w:sz w:val="22"/>
          <w:szCs w:val="24"/>
        </w:rPr>
        <w:t xml:space="preserve"> 2. </w:t>
      </w:r>
      <w:r w:rsidR="000425E4">
        <w:rPr>
          <w:sz w:val="22"/>
          <w:szCs w:val="24"/>
        </w:rPr>
        <w:t xml:space="preserve">For each age group 2 </w:t>
      </w:r>
      <w:proofErr w:type="spellStart"/>
      <w:r w:rsidR="000425E4">
        <w:rPr>
          <w:sz w:val="22"/>
          <w:szCs w:val="24"/>
        </w:rPr>
        <w:t>independend</w:t>
      </w:r>
      <w:proofErr w:type="spellEnd"/>
      <w:r w:rsidR="000425E4">
        <w:rPr>
          <w:sz w:val="22"/>
          <w:szCs w:val="24"/>
        </w:rPr>
        <w:t xml:space="preserve"> embeddings were performed. </w:t>
      </w:r>
      <w:r w:rsidR="7AA29AA8" w:rsidRPr="7AA29AA8">
        <w:rPr>
          <w:i/>
          <w:iCs/>
          <w:sz w:val="22"/>
          <w:szCs w:val="22"/>
          <w:lang w:val="en-US"/>
        </w:rPr>
        <w:t>Abbreviations: IHC</w:t>
      </w:r>
      <w:r w:rsidR="7AA29AA8" w:rsidRPr="7AA29AA8">
        <w:rPr>
          <w:sz w:val="22"/>
          <w:szCs w:val="22"/>
          <w:lang w:val="en-US"/>
        </w:rPr>
        <w:t>, inner hair cell.</w:t>
      </w:r>
      <w:r w:rsidR="7AA29AA8" w:rsidRPr="7AA29AA8">
        <w:rPr>
          <w:i/>
          <w:iCs/>
          <w:sz w:val="22"/>
          <w:szCs w:val="22"/>
        </w:rPr>
        <w:t xml:space="preserve"> Scale bar </w:t>
      </w:r>
      <w:r w:rsidR="7AA29AA8" w:rsidRPr="7AA29AA8">
        <w:rPr>
          <w:sz w:val="22"/>
          <w:szCs w:val="22"/>
        </w:rPr>
        <w:t>= 500 nm.</w:t>
      </w:r>
    </w:p>
    <w:p w14:paraId="51DFA1AD" w14:textId="3DD988AB" w:rsidR="008C0C52" w:rsidRPr="00CC3DB5" w:rsidRDefault="008C0C52" w:rsidP="000144A8">
      <w:pPr>
        <w:spacing w:line="240" w:lineRule="auto"/>
        <w:jc w:val="both"/>
        <w:rPr>
          <w:sz w:val="22"/>
        </w:rPr>
      </w:pPr>
    </w:p>
    <w:p w14:paraId="5D5CCD0E" w14:textId="4C33701F" w:rsidR="008C0C52" w:rsidRPr="00CC3DB5" w:rsidRDefault="008C0C52" w:rsidP="000144A8">
      <w:pPr>
        <w:spacing w:line="240" w:lineRule="auto"/>
        <w:jc w:val="both"/>
        <w:rPr>
          <w:sz w:val="22"/>
        </w:rPr>
      </w:pPr>
    </w:p>
    <w:p w14:paraId="0D43EDEB" w14:textId="77777777" w:rsidR="004D5F05" w:rsidRPr="00CC3DB5" w:rsidRDefault="004D5F05" w:rsidP="004D5F05">
      <w:pPr>
        <w:jc w:val="center"/>
        <w:rPr>
          <w:sz w:val="22"/>
        </w:rPr>
      </w:pPr>
      <w:r w:rsidRPr="00CC3DB5">
        <w:rPr>
          <w:noProof/>
          <w:sz w:val="22"/>
          <w:lang w:eastAsia="en-GB"/>
        </w:rPr>
        <w:lastRenderedPageBreak/>
        <w:drawing>
          <wp:inline distT="0" distB="0" distL="0" distR="0" wp14:anchorId="7ECCF467" wp14:editId="17C91277">
            <wp:extent cx="4867275" cy="4381500"/>
            <wp:effectExtent l="0" t="0" r="9525" b="0"/>
            <wp:docPr id="5" name="Picture 2" descr="Fig S6 OHCs 051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 S6 OHCs 0511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867275" cy="4381500"/>
                    </a:xfrm>
                    <a:prstGeom prst="rect">
                      <a:avLst/>
                    </a:prstGeom>
                    <a:noFill/>
                    <a:ln>
                      <a:noFill/>
                    </a:ln>
                  </pic:spPr>
                </pic:pic>
              </a:graphicData>
            </a:graphic>
          </wp:inline>
        </w:drawing>
      </w:r>
    </w:p>
    <w:p w14:paraId="020B190F" w14:textId="4D05C443" w:rsidR="004D5F05" w:rsidRPr="00CC3DB5" w:rsidRDefault="7AA29AA8" w:rsidP="7AA29AA8">
      <w:pPr>
        <w:spacing w:line="240" w:lineRule="auto"/>
        <w:jc w:val="both"/>
        <w:rPr>
          <w:sz w:val="22"/>
          <w:szCs w:val="22"/>
        </w:rPr>
      </w:pPr>
      <w:r w:rsidRPr="7AA29AA8">
        <w:rPr>
          <w:b/>
          <w:bCs/>
          <w:sz w:val="22"/>
          <w:szCs w:val="22"/>
        </w:rPr>
        <w:t>Supplementary figure</w:t>
      </w:r>
      <w:r w:rsidR="00D92572">
        <w:rPr>
          <w:b/>
          <w:bCs/>
          <w:sz w:val="22"/>
          <w:szCs w:val="22"/>
        </w:rPr>
        <w:t xml:space="preserve"> </w:t>
      </w:r>
      <w:r w:rsidRPr="7AA29AA8">
        <w:rPr>
          <w:b/>
          <w:bCs/>
          <w:sz w:val="22"/>
          <w:szCs w:val="22"/>
        </w:rPr>
        <w:t xml:space="preserve">9. No direct contacts between P22 OHCs. (a-b) </w:t>
      </w:r>
      <w:r w:rsidRPr="7AA29AA8">
        <w:rPr>
          <w:sz w:val="22"/>
          <w:szCs w:val="22"/>
        </w:rPr>
        <w:t>Oblique slices through a serial block-face electron microscopic dataset show only rare occasions of closely apposed basolateral membranes of OHCs</w:t>
      </w:r>
      <w:r w:rsidRPr="7AA29AA8">
        <w:rPr>
          <w:b/>
          <w:bCs/>
          <w:sz w:val="22"/>
          <w:szCs w:val="22"/>
        </w:rPr>
        <w:t xml:space="preserve"> </w:t>
      </w:r>
      <w:r w:rsidRPr="7AA29AA8">
        <w:rPr>
          <w:sz w:val="22"/>
          <w:szCs w:val="22"/>
        </w:rPr>
        <w:t>(black arrowhead).</w:t>
      </w:r>
      <w:r w:rsidRPr="7AA29AA8">
        <w:rPr>
          <w:b/>
          <w:bCs/>
          <w:sz w:val="22"/>
          <w:szCs w:val="22"/>
        </w:rPr>
        <w:t xml:space="preserve"> (c) </w:t>
      </w:r>
      <w:r w:rsidRPr="7AA29AA8">
        <w:rPr>
          <w:sz w:val="22"/>
          <w:szCs w:val="22"/>
        </w:rPr>
        <w:t>OHCs of the first row are closely apposed near their apical junctions and (</w:t>
      </w:r>
      <w:proofErr w:type="spellStart"/>
      <w:proofErr w:type="gramStart"/>
      <w:r w:rsidRPr="7AA29AA8">
        <w:rPr>
          <w:b/>
          <w:bCs/>
          <w:sz w:val="22"/>
          <w:szCs w:val="22"/>
        </w:rPr>
        <w:t>d,e</w:t>
      </w:r>
      <w:proofErr w:type="spellEnd"/>
      <w:proofErr w:type="gramEnd"/>
      <w:r w:rsidRPr="7AA29AA8">
        <w:rPr>
          <w:sz w:val="22"/>
          <w:szCs w:val="22"/>
        </w:rPr>
        <w:t xml:space="preserve">) occasionally at their basolateral membranes (black arrowheads). No direct OHC-OHC contacts were observed in </w:t>
      </w:r>
      <w:r w:rsidR="00F111D6">
        <w:rPr>
          <w:sz w:val="22"/>
          <w:szCs w:val="22"/>
        </w:rPr>
        <w:t xml:space="preserve">two independent </w:t>
      </w:r>
      <w:r w:rsidRPr="7AA29AA8">
        <w:rPr>
          <w:sz w:val="22"/>
          <w:szCs w:val="22"/>
        </w:rPr>
        <w:t xml:space="preserve">datasets. </w:t>
      </w:r>
      <w:r w:rsidRPr="7AA29AA8">
        <w:rPr>
          <w:i/>
          <w:iCs/>
          <w:sz w:val="22"/>
          <w:szCs w:val="22"/>
          <w:lang w:val="en-US"/>
        </w:rPr>
        <w:t>Abbreviations: OHC</w:t>
      </w:r>
      <w:r w:rsidRPr="7AA29AA8">
        <w:rPr>
          <w:sz w:val="22"/>
          <w:szCs w:val="22"/>
          <w:lang w:val="en-US"/>
        </w:rPr>
        <w:t>, outer hair cell</w:t>
      </w:r>
      <w:r w:rsidRPr="7AA29AA8">
        <w:rPr>
          <w:i/>
          <w:iCs/>
          <w:sz w:val="22"/>
          <w:szCs w:val="22"/>
        </w:rPr>
        <w:t xml:space="preserve"> Scale bar</w:t>
      </w:r>
      <w:r w:rsidRPr="7AA29AA8">
        <w:rPr>
          <w:sz w:val="22"/>
          <w:szCs w:val="22"/>
        </w:rPr>
        <w:t xml:space="preserve"> (depicted in a) = 5 µm in </w:t>
      </w:r>
      <w:proofErr w:type="spellStart"/>
      <w:proofErr w:type="gramStart"/>
      <w:r w:rsidRPr="7AA29AA8">
        <w:rPr>
          <w:b/>
          <w:bCs/>
          <w:sz w:val="22"/>
          <w:szCs w:val="22"/>
        </w:rPr>
        <w:t>a,b</w:t>
      </w:r>
      <w:proofErr w:type="spellEnd"/>
      <w:proofErr w:type="gramEnd"/>
      <w:r w:rsidRPr="7AA29AA8">
        <w:rPr>
          <w:sz w:val="22"/>
          <w:szCs w:val="22"/>
        </w:rPr>
        <w:t xml:space="preserve">; 3.3 µm in c; 2.6 µm in </w:t>
      </w:r>
      <w:proofErr w:type="spellStart"/>
      <w:r w:rsidRPr="7AA29AA8">
        <w:rPr>
          <w:sz w:val="22"/>
          <w:szCs w:val="22"/>
        </w:rPr>
        <w:t>d,e</w:t>
      </w:r>
      <w:proofErr w:type="spellEnd"/>
      <w:r w:rsidRPr="7AA29AA8">
        <w:rPr>
          <w:sz w:val="22"/>
          <w:szCs w:val="22"/>
        </w:rPr>
        <w:t>.</w:t>
      </w:r>
    </w:p>
    <w:p w14:paraId="6C612D86" w14:textId="77777777" w:rsidR="008C0C52" w:rsidRPr="00CC3DB5" w:rsidRDefault="008C0C52" w:rsidP="000144A8">
      <w:pPr>
        <w:spacing w:line="240" w:lineRule="auto"/>
        <w:jc w:val="both"/>
        <w:rPr>
          <w:sz w:val="22"/>
        </w:rPr>
      </w:pPr>
    </w:p>
    <w:p w14:paraId="590749A6" w14:textId="40D13C3D" w:rsidR="000144A8" w:rsidRPr="00CC3DB5" w:rsidRDefault="000144A8" w:rsidP="000144A8">
      <w:pPr>
        <w:spacing w:line="240" w:lineRule="auto"/>
        <w:jc w:val="both"/>
        <w:rPr>
          <w:sz w:val="22"/>
        </w:rPr>
      </w:pPr>
    </w:p>
    <w:p w14:paraId="72374AAA" w14:textId="745DBF2F" w:rsidR="000144A8" w:rsidRPr="00CC3DB5" w:rsidRDefault="005B2AB5" w:rsidP="008C0C52">
      <w:pPr>
        <w:jc w:val="both"/>
        <w:rPr>
          <w:sz w:val="22"/>
        </w:rPr>
      </w:pPr>
      <w:r w:rsidRPr="00CC3DB5">
        <w:rPr>
          <w:rStyle w:val="normaltextrun"/>
          <w:noProof/>
          <w:sz w:val="22"/>
          <w:szCs w:val="22"/>
          <w:shd w:val="clear" w:color="auto" w:fill="FFFFFF"/>
          <w:lang w:eastAsia="en-GB"/>
        </w:rPr>
        <w:lastRenderedPageBreak/>
        <w:drawing>
          <wp:inline distT="0" distB="0" distL="0" distR="0" wp14:anchorId="690EFBED" wp14:editId="0F85A5A8">
            <wp:extent cx="5582937" cy="7333782"/>
            <wp:effectExtent l="0" t="0" r="5080" b="698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9971" r="7369"/>
                    <a:stretch/>
                  </pic:blipFill>
                  <pic:spPr bwMode="auto">
                    <a:xfrm>
                      <a:off x="0" y="0"/>
                      <a:ext cx="5597233" cy="7352561"/>
                    </a:xfrm>
                    <a:prstGeom prst="rect">
                      <a:avLst/>
                    </a:prstGeom>
                    <a:noFill/>
                    <a:ln>
                      <a:noFill/>
                    </a:ln>
                    <a:extLst>
                      <a:ext uri="{53640926-AAD7-44D8-BBD7-CCE9431645EC}">
                        <a14:shadowObscured xmlns:a14="http://schemas.microsoft.com/office/drawing/2010/main"/>
                      </a:ext>
                    </a:extLst>
                  </pic:spPr>
                </pic:pic>
              </a:graphicData>
            </a:graphic>
          </wp:inline>
        </w:drawing>
      </w:r>
    </w:p>
    <w:p w14:paraId="7EA276EB" w14:textId="798A6419" w:rsidR="005B2AB5" w:rsidRPr="00CC3DB5" w:rsidRDefault="005B2AB5" w:rsidP="7AA29AA8">
      <w:pPr>
        <w:spacing w:line="240" w:lineRule="auto"/>
        <w:rPr>
          <w:b/>
          <w:bCs/>
          <w:sz w:val="22"/>
          <w:szCs w:val="22"/>
          <w:lang w:val="en-US"/>
        </w:rPr>
      </w:pPr>
      <w:r w:rsidRPr="7AA29AA8">
        <w:rPr>
          <w:b/>
          <w:bCs/>
          <w:sz w:val="22"/>
          <w:szCs w:val="22"/>
          <w:lang w:val="en-US"/>
        </w:rPr>
        <w:t>Supplementary figure</w:t>
      </w:r>
      <w:r w:rsidR="00D92572">
        <w:rPr>
          <w:b/>
          <w:bCs/>
          <w:sz w:val="22"/>
          <w:szCs w:val="22"/>
          <w:lang w:val="en-US"/>
        </w:rPr>
        <w:t xml:space="preserve"> </w:t>
      </w:r>
      <w:r w:rsidR="00E14330" w:rsidRPr="7AA29AA8">
        <w:rPr>
          <w:b/>
          <w:bCs/>
          <w:sz w:val="22"/>
          <w:szCs w:val="22"/>
          <w:lang w:val="en-US"/>
        </w:rPr>
        <w:t>10</w:t>
      </w:r>
      <w:r w:rsidRPr="7AA29AA8">
        <w:rPr>
          <w:b/>
          <w:bCs/>
          <w:sz w:val="22"/>
          <w:szCs w:val="22"/>
          <w:lang w:val="en-US"/>
        </w:rPr>
        <w:t>. Collective synaptic activity in IHC mini-syncytia</w:t>
      </w:r>
      <w:r w:rsidRPr="7AA29AA8">
        <w:rPr>
          <w:b/>
          <w:bCs/>
          <w:sz w:val="22"/>
          <w:szCs w:val="22"/>
          <w:shd w:val="clear" w:color="auto" w:fill="FFFFFF"/>
          <w:lang w:val="en-US"/>
        </w:rPr>
        <w:t xml:space="preserve">. </w:t>
      </w:r>
    </w:p>
    <w:p w14:paraId="4B7C67AF" w14:textId="71471B19" w:rsidR="005B2AB5" w:rsidRPr="00CC3DB5" w:rsidRDefault="005B2AB5" w:rsidP="00E22B18">
      <w:pPr>
        <w:spacing w:line="240" w:lineRule="auto"/>
        <w:jc w:val="both"/>
        <w:rPr>
          <w:sz w:val="22"/>
        </w:rPr>
      </w:pPr>
      <w:r w:rsidRPr="00CC3DB5">
        <w:rPr>
          <w:b/>
          <w:sz w:val="22"/>
          <w:szCs w:val="22"/>
          <w:shd w:val="clear" w:color="auto" w:fill="FFFFFF"/>
          <w:lang w:val="en-US"/>
        </w:rPr>
        <w:t>a)</w:t>
      </w:r>
      <w:r w:rsidRPr="00CC3DB5">
        <w:rPr>
          <w:sz w:val="22"/>
          <w:szCs w:val="22"/>
          <w:shd w:val="clear" w:color="auto" w:fill="FFFFFF"/>
          <w:lang w:val="en-US"/>
        </w:rPr>
        <w:t xml:space="preserve"> </w:t>
      </w:r>
      <w:r w:rsidRPr="00CC3DB5">
        <w:rPr>
          <w:rStyle w:val="normaltextrun"/>
          <w:sz w:val="22"/>
          <w:szCs w:val="22"/>
          <w:shd w:val="clear" w:color="auto" w:fill="FFFFFF"/>
        </w:rPr>
        <w:t xml:space="preserve">Coupled IHCs (delineated in </w:t>
      </w:r>
      <w:proofErr w:type="spellStart"/>
      <w:r w:rsidRPr="00CC3DB5">
        <w:rPr>
          <w:rStyle w:val="normaltextrun"/>
          <w:sz w:val="22"/>
          <w:szCs w:val="22"/>
          <w:shd w:val="clear" w:color="auto" w:fill="FFFFFF"/>
        </w:rPr>
        <w:t>color</w:t>
      </w:r>
      <w:proofErr w:type="spellEnd"/>
      <w:r w:rsidRPr="00CC3DB5">
        <w:rPr>
          <w:rStyle w:val="normaltextrun"/>
          <w:sz w:val="22"/>
          <w:szCs w:val="22"/>
          <w:shd w:val="clear" w:color="auto" w:fill="FFFFFF"/>
        </w:rPr>
        <w:t>) were patch-clamped and loaded with</w:t>
      </w:r>
      <w:r w:rsidR="004173B2" w:rsidRPr="00CC3DB5">
        <w:rPr>
          <w:rStyle w:val="normaltextrun"/>
          <w:sz w:val="22"/>
          <w:szCs w:val="22"/>
          <w:shd w:val="clear" w:color="auto" w:fill="FFFFFF"/>
        </w:rPr>
        <w:t xml:space="preserve"> </w:t>
      </w:r>
      <w:r w:rsidRPr="00CC3DB5">
        <w:rPr>
          <w:rStyle w:val="normaltextrun"/>
          <w:sz w:val="22"/>
          <w:szCs w:val="22"/>
          <w:shd w:val="clear" w:color="auto" w:fill="FFFFFF"/>
        </w:rPr>
        <w:t xml:space="preserve">the calcium indicator Fluo-4FF (F4FF) and </w:t>
      </w:r>
      <w:r w:rsidR="00033CA8" w:rsidRPr="00CC3DB5">
        <w:rPr>
          <w:rStyle w:val="normaltextrun"/>
          <w:sz w:val="22"/>
          <w:szCs w:val="22"/>
          <w:shd w:val="clear" w:color="auto" w:fill="FFFFFF"/>
        </w:rPr>
        <w:t xml:space="preserve">the </w:t>
      </w:r>
      <w:r w:rsidRPr="00CC3DB5">
        <w:rPr>
          <w:rStyle w:val="normaltextrun"/>
          <w:sz w:val="22"/>
          <w:szCs w:val="22"/>
          <w:shd w:val="clear" w:color="auto" w:fill="FFFFFF"/>
        </w:rPr>
        <w:t xml:space="preserve">TAMRA-fluorescent CtBP2-binding peptide. C1 (red) is the patched IHC, C2 (green) are coupled </w:t>
      </w:r>
      <w:r w:rsidR="00033CA8" w:rsidRPr="00CC3DB5">
        <w:rPr>
          <w:rStyle w:val="normaltextrun"/>
          <w:sz w:val="22"/>
          <w:szCs w:val="22"/>
          <w:shd w:val="clear" w:color="auto" w:fill="FFFFFF"/>
        </w:rPr>
        <w:t xml:space="preserve">IHCs neighbouring </w:t>
      </w:r>
      <w:r w:rsidRPr="00CC3DB5">
        <w:rPr>
          <w:rStyle w:val="normaltextrun"/>
          <w:sz w:val="22"/>
          <w:szCs w:val="22"/>
          <w:shd w:val="clear" w:color="auto" w:fill="FFFFFF"/>
        </w:rPr>
        <w:t>C1, C3 (blue) is coupled to C2 and C4 (violet). </w:t>
      </w:r>
      <w:r w:rsidRPr="00CC3DB5">
        <w:rPr>
          <w:rStyle w:val="normaltextrun"/>
          <w:b/>
          <w:bCs/>
          <w:sz w:val="22"/>
          <w:szCs w:val="22"/>
          <w:shd w:val="clear" w:color="auto" w:fill="FFFFFF"/>
        </w:rPr>
        <w:t xml:space="preserve"> </w:t>
      </w:r>
      <w:r w:rsidRPr="00CC3DB5">
        <w:rPr>
          <w:rStyle w:val="normaltextrun"/>
          <w:sz w:val="22"/>
          <w:szCs w:val="22"/>
          <w:shd w:val="clear" w:color="auto" w:fill="FFFFFF"/>
        </w:rPr>
        <w:t xml:space="preserve">Red lines show the imaging planes at bottom (1), middle (2) and top </w:t>
      </w:r>
      <w:r w:rsidR="004173B2" w:rsidRPr="00CC3DB5">
        <w:rPr>
          <w:rStyle w:val="normaltextrun"/>
          <w:sz w:val="22"/>
          <w:szCs w:val="22"/>
          <w:shd w:val="clear" w:color="auto" w:fill="FFFFFF"/>
        </w:rPr>
        <w:t xml:space="preserve">sections </w:t>
      </w:r>
      <w:r w:rsidR="00110D84" w:rsidRPr="00CC3DB5">
        <w:rPr>
          <w:rStyle w:val="normaltextrun"/>
          <w:sz w:val="22"/>
          <w:szCs w:val="22"/>
          <w:shd w:val="clear" w:color="auto" w:fill="FFFFFF"/>
        </w:rPr>
        <w:t xml:space="preserve">(3) of the </w:t>
      </w:r>
      <w:r w:rsidR="00BB7674" w:rsidRPr="00CC3DB5">
        <w:rPr>
          <w:rStyle w:val="normaltextrun"/>
          <w:sz w:val="22"/>
          <w:szCs w:val="22"/>
          <w:shd w:val="clear" w:color="auto" w:fill="FFFFFF"/>
        </w:rPr>
        <w:t>synaptic</w:t>
      </w:r>
      <w:r w:rsidR="00110D84" w:rsidRPr="00CC3DB5">
        <w:rPr>
          <w:rStyle w:val="normaltextrun"/>
          <w:sz w:val="22"/>
          <w:szCs w:val="22"/>
          <w:shd w:val="clear" w:color="auto" w:fill="FFFFFF"/>
        </w:rPr>
        <w:t xml:space="preserve"> </w:t>
      </w:r>
      <w:r w:rsidR="00BB7674" w:rsidRPr="00CC3DB5">
        <w:rPr>
          <w:rStyle w:val="normaltextrun"/>
          <w:sz w:val="22"/>
          <w:szCs w:val="22"/>
          <w:shd w:val="clear" w:color="auto" w:fill="FFFFFF"/>
        </w:rPr>
        <w:t>IHC pole</w:t>
      </w:r>
      <w:r w:rsidRPr="00CC3DB5">
        <w:rPr>
          <w:rStyle w:val="normaltextrun"/>
          <w:sz w:val="22"/>
          <w:szCs w:val="22"/>
          <w:shd w:val="clear" w:color="auto" w:fill="FFFFFF"/>
        </w:rPr>
        <w:t>. </w:t>
      </w:r>
      <w:r w:rsidRPr="00CC3DB5">
        <w:rPr>
          <w:rStyle w:val="normaltextrun"/>
          <w:b/>
          <w:bCs/>
          <w:sz w:val="22"/>
          <w:szCs w:val="22"/>
          <w:shd w:val="clear" w:color="auto" w:fill="FFFFFF"/>
        </w:rPr>
        <w:t>(b)</w:t>
      </w:r>
      <w:r w:rsidRPr="00CC3DB5">
        <w:rPr>
          <w:rStyle w:val="normaltextrun"/>
          <w:sz w:val="22"/>
          <w:szCs w:val="22"/>
          <w:shd w:val="clear" w:color="auto" w:fill="FFFFFF"/>
        </w:rPr>
        <w:t> </w:t>
      </w:r>
      <w:r w:rsidR="00246A3E" w:rsidRPr="00CC3DB5">
        <w:rPr>
          <w:rStyle w:val="normaltextrun"/>
          <w:sz w:val="22"/>
          <w:szCs w:val="22"/>
          <w:shd w:val="clear" w:color="auto" w:fill="FFFFFF"/>
        </w:rPr>
        <w:t>Left column: basal fluorescence indicating the cells in either the red (TAMRA peptide) or green (F4FF) channels. The pipette was drawn in the case it was not in the imaging plane. Right column</w:t>
      </w:r>
      <w:r w:rsidR="004173B2" w:rsidRPr="00CC3DB5">
        <w:rPr>
          <w:rStyle w:val="normaltextrun"/>
          <w:sz w:val="22"/>
          <w:szCs w:val="22"/>
          <w:shd w:val="clear" w:color="auto" w:fill="FFFFFF"/>
        </w:rPr>
        <w:t>s</w:t>
      </w:r>
      <w:r w:rsidR="00246A3E" w:rsidRPr="00CC3DB5">
        <w:rPr>
          <w:rStyle w:val="normaltextrun"/>
          <w:sz w:val="22"/>
          <w:szCs w:val="22"/>
          <w:shd w:val="clear" w:color="auto" w:fill="FFFFFF"/>
        </w:rPr>
        <w:t xml:space="preserve">: </w:t>
      </w:r>
      <w:r w:rsidRPr="00CC3DB5">
        <w:rPr>
          <w:rStyle w:val="normaltextrun"/>
          <w:sz w:val="22"/>
          <w:szCs w:val="22"/>
          <w:shd w:val="clear" w:color="auto" w:fill="FFFFFF"/>
        </w:rPr>
        <w:t>ΔF/F</w:t>
      </w:r>
      <w:r w:rsidRPr="00CC3DB5">
        <w:rPr>
          <w:rStyle w:val="normaltextrun"/>
          <w:sz w:val="22"/>
          <w:szCs w:val="22"/>
          <w:shd w:val="clear" w:color="auto" w:fill="FFFFFF"/>
          <w:vertAlign w:val="subscript"/>
        </w:rPr>
        <w:t>0</w:t>
      </w:r>
      <w:r w:rsidR="00246A3E" w:rsidRPr="00CC3DB5">
        <w:rPr>
          <w:rStyle w:val="normaltextrun"/>
          <w:sz w:val="22"/>
          <w:szCs w:val="22"/>
          <w:shd w:val="clear" w:color="auto" w:fill="FFFFFF"/>
        </w:rPr>
        <w:t xml:space="preserve"> </w:t>
      </w:r>
      <w:r w:rsidR="00BB7674" w:rsidRPr="00CC3DB5">
        <w:rPr>
          <w:rStyle w:val="normaltextrun"/>
          <w:sz w:val="22"/>
          <w:szCs w:val="22"/>
          <w:shd w:val="clear" w:color="auto" w:fill="FFFFFF"/>
        </w:rPr>
        <w:t xml:space="preserve">images </w:t>
      </w:r>
      <w:r w:rsidRPr="00CC3DB5">
        <w:rPr>
          <w:rStyle w:val="normaltextrun"/>
          <w:sz w:val="22"/>
          <w:szCs w:val="22"/>
          <w:shd w:val="clear" w:color="auto" w:fill="FFFFFF"/>
        </w:rPr>
        <w:t>from single plane</w:t>
      </w:r>
      <w:r w:rsidR="00246A3E" w:rsidRPr="00CC3DB5">
        <w:rPr>
          <w:rStyle w:val="normaltextrun"/>
          <w:sz w:val="22"/>
          <w:szCs w:val="22"/>
          <w:shd w:val="clear" w:color="auto" w:fill="FFFFFF"/>
        </w:rPr>
        <w:t>s</w:t>
      </w:r>
      <w:r w:rsidRPr="00CC3DB5">
        <w:rPr>
          <w:rStyle w:val="normaltextrun"/>
          <w:sz w:val="22"/>
          <w:szCs w:val="22"/>
          <w:shd w:val="clear" w:color="auto" w:fill="FFFFFF"/>
        </w:rPr>
        <w:t xml:space="preserve"> </w:t>
      </w:r>
      <w:r w:rsidR="00BB7674" w:rsidRPr="00CC3DB5">
        <w:rPr>
          <w:rStyle w:val="normaltextrun"/>
          <w:sz w:val="22"/>
          <w:szCs w:val="22"/>
          <w:shd w:val="clear" w:color="auto" w:fill="FFFFFF"/>
        </w:rPr>
        <w:t>showing</w:t>
      </w:r>
      <w:r w:rsidR="00246A3E" w:rsidRPr="00CC3DB5">
        <w:rPr>
          <w:rStyle w:val="normaltextrun"/>
          <w:sz w:val="22"/>
          <w:szCs w:val="22"/>
          <w:shd w:val="clear" w:color="auto" w:fill="FFFFFF"/>
        </w:rPr>
        <w:t xml:space="preserve"> </w:t>
      </w:r>
      <w:r w:rsidR="00BB7674" w:rsidRPr="00CC3DB5">
        <w:rPr>
          <w:rStyle w:val="normaltextrun"/>
          <w:sz w:val="22"/>
          <w:szCs w:val="22"/>
          <w:shd w:val="clear" w:color="auto" w:fill="FFFFFF"/>
        </w:rPr>
        <w:t xml:space="preserve">localized </w:t>
      </w:r>
      <w:r w:rsidRPr="00CC3DB5">
        <w:rPr>
          <w:rStyle w:val="normaltextrun"/>
          <w:sz w:val="22"/>
          <w:szCs w:val="22"/>
        </w:rPr>
        <w:t>Ca</w:t>
      </w:r>
      <w:r w:rsidRPr="00CC3DB5">
        <w:rPr>
          <w:rStyle w:val="normaltextrun"/>
          <w:sz w:val="22"/>
          <w:szCs w:val="22"/>
          <w:vertAlign w:val="superscript"/>
        </w:rPr>
        <w:t>2+</w:t>
      </w:r>
      <w:r w:rsidR="001016E9">
        <w:rPr>
          <w:rStyle w:val="normaltextrun"/>
          <w:sz w:val="22"/>
          <w:szCs w:val="22"/>
          <w:shd w:val="clear" w:color="auto" w:fill="FFFFFF"/>
        </w:rPr>
        <w:t xml:space="preserve"> </w:t>
      </w:r>
      <w:r w:rsidR="00BB7674" w:rsidRPr="00CC3DB5">
        <w:rPr>
          <w:rStyle w:val="normaltextrun"/>
          <w:sz w:val="22"/>
          <w:szCs w:val="22"/>
          <w:shd w:val="clear" w:color="auto" w:fill="FFFFFF"/>
        </w:rPr>
        <w:t>signals (arrowheads</w:t>
      </w:r>
      <w:r w:rsidRPr="00CC3DB5">
        <w:rPr>
          <w:rStyle w:val="normaltextrun"/>
          <w:sz w:val="22"/>
          <w:szCs w:val="22"/>
          <w:shd w:val="clear" w:color="auto" w:fill="FFFFFF"/>
        </w:rPr>
        <w:t xml:space="preserve">) in the coupled IHCs. Non-coupled IHCs </w:t>
      </w:r>
      <w:r w:rsidR="004173B2" w:rsidRPr="00CC3DB5">
        <w:rPr>
          <w:rStyle w:val="normaltextrun"/>
          <w:sz w:val="22"/>
          <w:szCs w:val="22"/>
          <w:shd w:val="clear" w:color="auto" w:fill="FFFFFF"/>
        </w:rPr>
        <w:t xml:space="preserve">that have been previously patched </w:t>
      </w:r>
      <w:r w:rsidRPr="00CC3DB5">
        <w:rPr>
          <w:rStyle w:val="normaltextrun"/>
          <w:sz w:val="22"/>
          <w:szCs w:val="22"/>
          <w:shd w:val="clear" w:color="auto" w:fill="FFFFFF"/>
        </w:rPr>
        <w:t>are delineated in dashed lines. </w:t>
      </w:r>
    </w:p>
    <w:p w14:paraId="2E53090B" w14:textId="338D304A" w:rsidR="0096640C" w:rsidRPr="00CC3DB5" w:rsidRDefault="0096640C" w:rsidP="00301E64">
      <w:pPr>
        <w:spacing w:line="240" w:lineRule="auto"/>
        <w:rPr>
          <w:b/>
          <w:sz w:val="22"/>
          <w:szCs w:val="22"/>
        </w:rPr>
      </w:pPr>
      <w:r w:rsidRPr="00CC3DB5">
        <w:rPr>
          <w:b/>
          <w:sz w:val="22"/>
          <w:szCs w:val="22"/>
        </w:rPr>
        <w:lastRenderedPageBreak/>
        <w:t xml:space="preserve">Supplementary </w:t>
      </w:r>
      <w:r w:rsidR="0087065C">
        <w:rPr>
          <w:b/>
          <w:sz w:val="22"/>
          <w:szCs w:val="22"/>
        </w:rPr>
        <w:t>Note</w:t>
      </w:r>
      <w:r w:rsidR="00AE277F">
        <w:rPr>
          <w:b/>
          <w:sz w:val="22"/>
          <w:szCs w:val="22"/>
        </w:rPr>
        <w:t xml:space="preserve"> 1</w:t>
      </w:r>
    </w:p>
    <w:p w14:paraId="75F8C59C" w14:textId="77777777" w:rsidR="0057493F" w:rsidRPr="00CC3DB5" w:rsidRDefault="0057493F" w:rsidP="0096640C">
      <w:pPr>
        <w:jc w:val="both"/>
        <w:rPr>
          <w:b/>
          <w:sz w:val="22"/>
          <w:szCs w:val="22"/>
        </w:rPr>
      </w:pPr>
    </w:p>
    <w:p w14:paraId="0467E091" w14:textId="4FE78957" w:rsidR="00960116" w:rsidRPr="00CC3DB5" w:rsidRDefault="0096640C" w:rsidP="00960116">
      <w:pPr>
        <w:jc w:val="both"/>
        <w:rPr>
          <w:sz w:val="22"/>
          <w:szCs w:val="22"/>
        </w:rPr>
      </w:pPr>
      <w:r w:rsidRPr="00CC3DB5">
        <w:rPr>
          <w:sz w:val="22"/>
          <w:szCs w:val="22"/>
        </w:rPr>
        <w:t>Encoding of auditory signals at IHC-SGN synapses entails 1) mechanoelectric</w:t>
      </w:r>
      <w:r w:rsidR="004935CC" w:rsidRPr="00CC3DB5">
        <w:rPr>
          <w:sz w:val="22"/>
          <w:szCs w:val="22"/>
        </w:rPr>
        <w:t>al</w:t>
      </w:r>
      <w:r w:rsidRPr="00CC3DB5">
        <w:rPr>
          <w:sz w:val="22"/>
          <w:szCs w:val="22"/>
        </w:rPr>
        <w:t xml:space="preserve"> transduction at the tips of the stereocilia </w:t>
      </w:r>
      <w:r w:rsidR="005712BC" w:rsidRPr="00CC3DB5">
        <w:rPr>
          <w:sz w:val="22"/>
          <w:szCs w:val="22"/>
        </w:rPr>
        <w:t xml:space="preserve">generating the receptor potential </w:t>
      </w:r>
      <w:r w:rsidRPr="00CC3DB5">
        <w:rPr>
          <w:sz w:val="22"/>
          <w:szCs w:val="22"/>
        </w:rPr>
        <w:t xml:space="preserve">and 2) the coupling </w:t>
      </w:r>
      <w:r w:rsidR="005712BC" w:rsidRPr="00CC3DB5">
        <w:rPr>
          <w:sz w:val="22"/>
          <w:szCs w:val="22"/>
        </w:rPr>
        <w:t xml:space="preserve">of the receptor potential to glutamate release (stimulus-secretion-coupling) </w:t>
      </w:r>
      <w:r w:rsidRPr="00CC3DB5">
        <w:rPr>
          <w:sz w:val="22"/>
          <w:szCs w:val="22"/>
        </w:rPr>
        <w:t xml:space="preserve">at the ribbon synapses. Both processes involve relatively small numbers of </w:t>
      </w:r>
      <w:proofErr w:type="spellStart"/>
      <w:r w:rsidRPr="00CC3DB5">
        <w:rPr>
          <w:sz w:val="22"/>
          <w:szCs w:val="22"/>
        </w:rPr>
        <w:t>signaling</w:t>
      </w:r>
      <w:proofErr w:type="spellEnd"/>
      <w:r w:rsidRPr="00CC3DB5">
        <w:rPr>
          <w:sz w:val="22"/>
          <w:szCs w:val="22"/>
        </w:rPr>
        <w:t xml:space="preserve"> proteins: around 40 mechanotransducer channels per hair cell </w:t>
      </w:r>
      <w:r w:rsidRPr="00CC3DB5">
        <w:rPr>
          <w:sz w:val="22"/>
          <w:szCs w:val="22"/>
        </w:rPr>
        <w:fldChar w:fldCharType="begin"/>
      </w:r>
      <w:r w:rsidR="00ED72E6" w:rsidRPr="00CC3DB5">
        <w:rPr>
          <w:sz w:val="22"/>
          <w:szCs w:val="22"/>
        </w:rPr>
        <w:instrText xml:space="preserve"> ADDIN ZOTERO_ITEM CSL_CITATION {"citationID":"3qI4DKem","properties":{"formattedCitation":"({\\i{}13})","plainCitation":"(13)","noteIndex":0},"citationItems":[{"id":12797,"uris":["http://zotero.org/users/598743/items/XTSAWHHZ"],"uri":["http://zotero.org/users/598743/items/XTSAWHHZ"],"itemData":{"id":12797,"type":"article-journal","abstract":"Much is known about the mechanotransducer (MT) channels mediating transduction in hair cells of the vertrbrate inner ear. With the use of isolated preparations, it is experimentally feasible to deliver precise mechanical stimuli to individual cells and record the ensuing transducer currents. This approach has shown that small (1-100 nm) deflections of the hair-cell stereociliary bundle are transmitted via interciliary tip links to open MT channels at the tops of the stereocilia. These channels are cation-permeable with a high selectivity for Ca(2+); two channels are thought to be localized at the lower end of the tip link, each with a large single-channel conductance that increases from the low- to high-frequency end of the cochlea. Ca(2+) influx through open channels regulates their resting open probability, which may contribute to setting the hair cell resting potential in vivo. Ca(2+) also controls transducer fast adaptation and force generation by the hair bundle, the two coupled processes increasing in speed from cochlear apex to base. The molecular intricacy of the stereocilary bundle and the transduction apparatus is reflected by the large number of single-gene mutations that are linked to sensorineural deafness, especially those in Usher syndrome. Studies of such mutants have led to the discovery of many of the molecules of the transduction complex, including the tip link and its attachments to the stereociliary core. However, the MT channel protein is still not firmly identified, nor is it known whether the channel is activated by force delivered through accessory proteins or by deformation of the lipid bilayer.","container-title":"Physiological Reviews","DOI":"10.1152/physrev.00038.2013","ISSN":"1522-1210","issue":"3","journalAbbreviation":"Physiol. Rev.","language":"eng","note":"PMID: 24987009\nPMCID: PMC4101631","page":"951-986","source":"PubMed","title":"The physiology of mechanoelectrical transduction channels in hearing","volume":"94","author":[{"family":"Fettiplace","given":"Robert"},{"family":"Kim","given":"Kyunghee X."}],"issued":{"date-parts":[["2014",7]]}}}],"schema":"https://github.com/citation-style-language/schema/raw/master/csl-citation.json"} </w:instrText>
      </w:r>
      <w:r w:rsidRPr="00CC3DB5">
        <w:rPr>
          <w:sz w:val="22"/>
          <w:szCs w:val="22"/>
        </w:rPr>
        <w:fldChar w:fldCharType="separate"/>
      </w:r>
      <w:r w:rsidR="00ED72E6" w:rsidRPr="00CC3DB5">
        <w:rPr>
          <w:rFonts w:ascii="Calibri"/>
          <w:sz w:val="22"/>
        </w:rPr>
        <w:t>(</w:t>
      </w:r>
      <w:r w:rsidR="00ED72E6" w:rsidRPr="00CC3DB5">
        <w:rPr>
          <w:rFonts w:ascii="Calibri"/>
          <w:i/>
          <w:iCs/>
          <w:sz w:val="22"/>
        </w:rPr>
        <w:t>13</w:t>
      </w:r>
      <w:r w:rsidR="00ED72E6" w:rsidRPr="00CC3DB5">
        <w:rPr>
          <w:rFonts w:ascii="Calibri"/>
          <w:sz w:val="22"/>
        </w:rPr>
        <w:t>)</w:t>
      </w:r>
      <w:r w:rsidRPr="00CC3DB5">
        <w:rPr>
          <w:sz w:val="22"/>
          <w:szCs w:val="22"/>
        </w:rPr>
        <w:fldChar w:fldCharType="end"/>
      </w:r>
      <w:r w:rsidRPr="00CC3DB5">
        <w:rPr>
          <w:sz w:val="22"/>
          <w:szCs w:val="22"/>
        </w:rPr>
        <w:t xml:space="preserve"> and around 10 release sites per synapse </w:t>
      </w:r>
      <w:r w:rsidRPr="00CC3DB5">
        <w:rPr>
          <w:sz w:val="22"/>
          <w:szCs w:val="22"/>
        </w:rPr>
        <w:fldChar w:fldCharType="begin"/>
      </w:r>
      <w:r w:rsidR="00ED72E6" w:rsidRPr="00CC3DB5">
        <w:rPr>
          <w:sz w:val="22"/>
          <w:szCs w:val="22"/>
        </w:rPr>
        <w:instrText xml:space="preserve"> ADDIN ZOTERO_ITEM CSL_CITATION {"citationID":"ukRHVpE9","properties":{"formattedCitation":"({\\i{}14})","plainCitation":"(14)","noteIndex":0},"citationItems":[{"id":9679,"uris":["http://zotero.org/users/598743/items/8JF7JC6H"],"uri":["http://zotero.org/users/598743/items/8JF7JC6H"],"itemData":{"id":9679,"type":"article-journal","abstract":"Inner hair cell ribbon synapses indefatigably transmit acoustic information. The proteins mediating their fast vesicle replenishment (hundreds of vesicles per s) are unknown. We found that an aspartate to glycine substitution in the C(2)F domain of the synaptic vesicle protein otoferlin impaired hearing by reducing vesicle replenishment in the pachanga mouse model of human deafness DFNB9. In vitro estimates of vesicle docking, the readily releasable vesicle pool (RRP), Ca(2+) signaling and vesicle fusion were normal. Moreover, we observed postsynaptic excitatory currents of variable size and spike generation. However, mutant active zones replenished vesicles at lower rates than wild-type ones and sound-evoked spiking in auditory neurons was sparse and only partially improved during longer interstimulus intervals. We conclude that replenishment does not match the release of vesicles at mutant active zones in vivo and a sufficient standing RRP therefore cannot be maintained. We propose that otoferlin is involved in replenishing synaptic vesicles.","container-title":"Nature Neuroscience","DOI":"10.1038/nn.2578","ISSN":"1546-1726","issue":"7","journalAbbreviation":"Nat. Neurosci.","language":"eng","note":"PMID: 20562868","page":"869-876","source":"NCBI PubMed","title":"Hearing requires otoferlin-dependent efficient replenishment of synaptic vesicles in hair cells","volume":"13","author":[{"family":"Pangrsic","given":"Tina"},{"family":"Lasarow","given":"Livia"},{"family":"Reuter","given":"Kirsten"},{"family":"Takago","given":"Hideki"},{"family":"Schwander","given":"Martin"},{"family":"Riedel","given":"Dietmar"},{"family":"Frank","given":"Thomas"},{"family":"Tarantino","given":"Lisa M."},{"family":"Bailey","given":"Janice S."},{"family":"Strenzke","given":"Nicola"},{"family":"Brose","given":"Nils"},{"family":"Müller","given":"Ulrich"},{"family":"Reisinger","given":"Ellen"},{"family":"Moser","given":"Tobias"}],"issued":{"date-parts":[["2010",7]]}}}],"schema":"https://github.com/citation-style-language/schema/raw/master/csl-citation.json"} </w:instrText>
      </w:r>
      <w:r w:rsidRPr="00CC3DB5">
        <w:rPr>
          <w:sz w:val="22"/>
          <w:szCs w:val="22"/>
        </w:rPr>
        <w:fldChar w:fldCharType="separate"/>
      </w:r>
      <w:r w:rsidR="00ED72E6" w:rsidRPr="00CC3DB5">
        <w:rPr>
          <w:rFonts w:ascii="Calibri"/>
          <w:sz w:val="22"/>
        </w:rPr>
        <w:t>(</w:t>
      </w:r>
      <w:r w:rsidR="00ED72E6" w:rsidRPr="00CC3DB5">
        <w:rPr>
          <w:rFonts w:ascii="Calibri"/>
          <w:i/>
          <w:iCs/>
          <w:sz w:val="22"/>
        </w:rPr>
        <w:t>14</w:t>
      </w:r>
      <w:r w:rsidR="00ED72E6" w:rsidRPr="00CC3DB5">
        <w:rPr>
          <w:rFonts w:ascii="Calibri"/>
          <w:sz w:val="22"/>
        </w:rPr>
        <w:t>)</w:t>
      </w:r>
      <w:r w:rsidRPr="00CC3DB5">
        <w:rPr>
          <w:sz w:val="22"/>
          <w:szCs w:val="22"/>
        </w:rPr>
        <w:fldChar w:fldCharType="end"/>
      </w:r>
      <w:r w:rsidRPr="00CC3DB5">
        <w:rPr>
          <w:sz w:val="22"/>
          <w:szCs w:val="22"/>
        </w:rPr>
        <w:t xml:space="preserve">. So, although </w:t>
      </w:r>
      <w:proofErr w:type="spellStart"/>
      <w:r w:rsidRPr="00CC3DB5">
        <w:rPr>
          <w:sz w:val="22"/>
          <w:szCs w:val="22"/>
        </w:rPr>
        <w:t>neighboring</w:t>
      </w:r>
      <w:proofErr w:type="spellEnd"/>
      <w:r w:rsidRPr="00CC3DB5">
        <w:rPr>
          <w:sz w:val="22"/>
          <w:szCs w:val="22"/>
        </w:rPr>
        <w:t xml:space="preserve"> IHCs receive virtually identical mechanical stimuli, because basilar membrane tuning is much wider than an IHC (see Supplementary Text 2), each IHC is subject to different realizations of stochastic mechanotransduction currents and hence they show different membrane voltage trajectories. As a consequence, signal encoding precision will be limited by the count statistics of the stochastically operating elements. The low-conductance electric coupling between the IHCs in a mini-syncytium causes voltage averaging, which increases the signal to noise ratio. This can be shown by computational </w:t>
      </w:r>
      <w:proofErr w:type="spellStart"/>
      <w:r w:rsidRPr="00CC3DB5">
        <w:rPr>
          <w:sz w:val="22"/>
          <w:szCs w:val="22"/>
        </w:rPr>
        <w:t>modeling</w:t>
      </w:r>
      <w:proofErr w:type="spellEnd"/>
      <w:r w:rsidRPr="00CC3DB5">
        <w:rPr>
          <w:sz w:val="22"/>
          <w:szCs w:val="22"/>
        </w:rPr>
        <w:t xml:space="preserve"> two scenarios in the Neuron simulation environment </w:t>
      </w:r>
      <w:r w:rsidRPr="00CC3DB5">
        <w:rPr>
          <w:sz w:val="22"/>
          <w:szCs w:val="22"/>
        </w:rPr>
        <w:fldChar w:fldCharType="begin"/>
      </w:r>
      <w:r w:rsidR="00ED72E6" w:rsidRPr="00CC3DB5">
        <w:rPr>
          <w:sz w:val="22"/>
          <w:szCs w:val="22"/>
        </w:rPr>
        <w:instrText xml:space="preserve"> ADDIN ZOTERO_ITEM CSL_CITATION {"citationID":"eeMeMi2g","properties":{"formattedCitation":"({\\i{}15})","plainCitation":"(15)","noteIndex":0},"citationItems":[{"id":16825,"uris":["http://zotero.org/users/598743/items/DBAVDEGX"],"uri":["http://zotero.org/users/598743/items/DBAVDEGX"],"itemData":{"id":16825,"type":"book","event-place":"Cambridge","ISBN":"978-0-511-54161-2","note":"DOI: 10.1017/CBO9780511541612","publisher":"Cambridge University Press","publisher-place":"Cambridge","source":"DOI.org (Crossref)","title":"The NEURON Book","URL":"http://ebooks.cambridge.org/ref/id/CBO9780511541612","author":[{"family":"Carnevale","given":"Nicholas T."},{"family":"Hines","given":"Michael L."}],"accessed":{"date-parts":[["2019",9,2]]},"issued":{"date-parts":[["2006"]]}}}],"schema":"https://github.com/citation-style-language/schema/raw/master/csl-citation.json"} </w:instrText>
      </w:r>
      <w:r w:rsidRPr="00CC3DB5">
        <w:rPr>
          <w:sz w:val="22"/>
          <w:szCs w:val="22"/>
        </w:rPr>
        <w:fldChar w:fldCharType="separate"/>
      </w:r>
      <w:r w:rsidR="00ED72E6" w:rsidRPr="00CC3DB5">
        <w:rPr>
          <w:rFonts w:ascii="Calibri"/>
          <w:sz w:val="22"/>
        </w:rPr>
        <w:t>(</w:t>
      </w:r>
      <w:r w:rsidR="00ED72E6" w:rsidRPr="00CC3DB5">
        <w:rPr>
          <w:rFonts w:ascii="Calibri"/>
          <w:i/>
          <w:iCs/>
          <w:sz w:val="22"/>
        </w:rPr>
        <w:t>15</w:t>
      </w:r>
      <w:r w:rsidR="00ED72E6" w:rsidRPr="00CC3DB5">
        <w:rPr>
          <w:rFonts w:ascii="Calibri"/>
          <w:sz w:val="22"/>
        </w:rPr>
        <w:t>)</w:t>
      </w:r>
      <w:r w:rsidRPr="00CC3DB5">
        <w:rPr>
          <w:sz w:val="22"/>
          <w:szCs w:val="22"/>
        </w:rPr>
        <w:fldChar w:fldCharType="end"/>
      </w:r>
      <w:r w:rsidRPr="00CC3DB5">
        <w:rPr>
          <w:sz w:val="22"/>
          <w:szCs w:val="22"/>
        </w:rPr>
        <w:t xml:space="preserve">, three non-coupled IHCs </w:t>
      </w:r>
      <w:r w:rsidR="00F4226A" w:rsidRPr="00CC3DB5">
        <w:rPr>
          <w:sz w:val="22"/>
          <w:szCs w:val="22"/>
        </w:rPr>
        <w:t xml:space="preserve">(Fig. 8, left panel) </w:t>
      </w:r>
      <w:r w:rsidRPr="00CC3DB5">
        <w:rPr>
          <w:sz w:val="22"/>
          <w:szCs w:val="22"/>
        </w:rPr>
        <w:t>and a mini-syncytium of three IHCs</w:t>
      </w:r>
      <w:r w:rsidR="00F4226A" w:rsidRPr="00CC3DB5">
        <w:rPr>
          <w:sz w:val="22"/>
          <w:szCs w:val="22"/>
        </w:rPr>
        <w:t xml:space="preserve"> (Fig. 8, right panel)</w:t>
      </w:r>
      <w:r w:rsidRPr="00CC3DB5">
        <w:rPr>
          <w:sz w:val="22"/>
          <w:szCs w:val="22"/>
        </w:rPr>
        <w:t xml:space="preserve">, during weak stimulation driving the opening of on average 2.7 of the 40 mechanotransducer channels in an IHC (Fig. </w:t>
      </w:r>
      <w:r w:rsidR="00F4226A" w:rsidRPr="00CC3DB5">
        <w:rPr>
          <w:sz w:val="22"/>
          <w:szCs w:val="22"/>
        </w:rPr>
        <w:t>8</w:t>
      </w:r>
      <w:r w:rsidRPr="00CC3DB5">
        <w:rPr>
          <w:sz w:val="22"/>
          <w:szCs w:val="22"/>
        </w:rPr>
        <w:t>). Note how weakly the mechanotransducer activity is correlated and how correlations downstream of mechanotransduction are increased by IHC-coupling. Ca</w:t>
      </w:r>
      <w:r w:rsidRPr="00CC3DB5">
        <w:rPr>
          <w:sz w:val="22"/>
          <w:szCs w:val="22"/>
          <w:vertAlign w:val="superscript"/>
        </w:rPr>
        <w:t>2+</w:t>
      </w:r>
      <w:r w:rsidR="006B1A8E" w:rsidRPr="00CC3DB5">
        <w:rPr>
          <w:sz w:val="22"/>
          <w:szCs w:val="22"/>
        </w:rPr>
        <w:t xml:space="preserve"> </w:t>
      </w:r>
      <w:r w:rsidRPr="00CC3DB5">
        <w:rPr>
          <w:sz w:val="22"/>
          <w:szCs w:val="22"/>
        </w:rPr>
        <w:t xml:space="preserve">channel gating </w:t>
      </w:r>
      <w:r w:rsidR="00827CBD" w:rsidRPr="00CC3DB5">
        <w:rPr>
          <w:sz w:val="22"/>
          <w:szCs w:val="22"/>
        </w:rPr>
        <w:t>seems</w:t>
      </w:r>
      <w:r w:rsidRPr="00CC3DB5">
        <w:rPr>
          <w:sz w:val="22"/>
          <w:szCs w:val="22"/>
        </w:rPr>
        <w:t xml:space="preserve"> more representative of the input in coupled than in non-coupled IHCs, demonstrated by </w:t>
      </w:r>
      <w:r w:rsidR="004935CC" w:rsidRPr="00CC3DB5">
        <w:rPr>
          <w:sz w:val="22"/>
          <w:szCs w:val="22"/>
        </w:rPr>
        <w:t>the</w:t>
      </w:r>
      <w:r w:rsidR="00827CBD" w:rsidRPr="00CC3DB5">
        <w:rPr>
          <w:sz w:val="22"/>
          <w:szCs w:val="22"/>
        </w:rPr>
        <w:t xml:space="preserve"> tendency toward</w:t>
      </w:r>
      <w:r w:rsidR="004935CC" w:rsidRPr="00CC3DB5">
        <w:rPr>
          <w:sz w:val="22"/>
          <w:szCs w:val="22"/>
        </w:rPr>
        <w:t xml:space="preserve"> higher </w:t>
      </w:r>
      <w:r w:rsidRPr="00CC3DB5">
        <w:rPr>
          <w:sz w:val="22"/>
          <w:szCs w:val="22"/>
        </w:rPr>
        <w:t xml:space="preserve">correlation between </w:t>
      </w:r>
      <w:r w:rsidR="004935CC" w:rsidRPr="00CC3DB5">
        <w:rPr>
          <w:sz w:val="22"/>
          <w:szCs w:val="22"/>
        </w:rPr>
        <w:t xml:space="preserve">mechanical </w:t>
      </w:r>
      <w:r w:rsidRPr="00CC3DB5">
        <w:rPr>
          <w:sz w:val="22"/>
          <w:szCs w:val="22"/>
        </w:rPr>
        <w:t>input and Ca</w:t>
      </w:r>
      <w:r w:rsidRPr="00CC3DB5">
        <w:rPr>
          <w:sz w:val="22"/>
          <w:szCs w:val="22"/>
          <w:vertAlign w:val="superscript"/>
        </w:rPr>
        <w:t>2+</w:t>
      </w:r>
      <w:r w:rsidR="001016E9">
        <w:rPr>
          <w:sz w:val="22"/>
          <w:szCs w:val="22"/>
        </w:rPr>
        <w:t xml:space="preserve"> </w:t>
      </w:r>
      <w:r w:rsidRPr="00CC3DB5">
        <w:rPr>
          <w:sz w:val="22"/>
          <w:szCs w:val="22"/>
        </w:rPr>
        <w:t>channel open probability</w:t>
      </w:r>
      <w:r w:rsidR="004935CC" w:rsidRPr="00CC3DB5">
        <w:rPr>
          <w:sz w:val="22"/>
          <w:szCs w:val="22"/>
        </w:rPr>
        <w:t xml:space="preserve"> (Pearson correlation coefficient:</w:t>
      </w:r>
      <w:r w:rsidRPr="00CC3DB5">
        <w:rPr>
          <w:sz w:val="22"/>
          <w:szCs w:val="22"/>
        </w:rPr>
        <w:t xml:space="preserve"> 0.</w:t>
      </w:r>
      <w:r w:rsidR="007D51AC" w:rsidRPr="00CC3DB5">
        <w:rPr>
          <w:sz w:val="22"/>
          <w:szCs w:val="22"/>
        </w:rPr>
        <w:t>88</w:t>
      </w:r>
      <w:r w:rsidRPr="00CC3DB5">
        <w:rPr>
          <w:sz w:val="22"/>
          <w:szCs w:val="22"/>
        </w:rPr>
        <w:t xml:space="preserve"> </w:t>
      </w:r>
      <w:r w:rsidR="004935CC" w:rsidRPr="00CC3DB5">
        <w:rPr>
          <w:sz w:val="22"/>
          <w:szCs w:val="22"/>
        </w:rPr>
        <w:t xml:space="preserve">for </w:t>
      </w:r>
      <w:r w:rsidRPr="00CC3DB5">
        <w:rPr>
          <w:sz w:val="22"/>
          <w:szCs w:val="22"/>
        </w:rPr>
        <w:t>coupled</w:t>
      </w:r>
      <w:r w:rsidR="004935CC" w:rsidRPr="00CC3DB5">
        <w:rPr>
          <w:sz w:val="22"/>
          <w:szCs w:val="22"/>
        </w:rPr>
        <w:t xml:space="preserve"> IHCs vs. </w:t>
      </w:r>
      <w:r w:rsidRPr="00CC3DB5">
        <w:rPr>
          <w:sz w:val="22"/>
          <w:szCs w:val="22"/>
        </w:rPr>
        <w:t>0.82</w:t>
      </w:r>
      <w:r w:rsidR="004935CC" w:rsidRPr="00CC3DB5">
        <w:rPr>
          <w:sz w:val="22"/>
          <w:szCs w:val="22"/>
        </w:rPr>
        <w:t xml:space="preserve"> for </w:t>
      </w:r>
      <w:r w:rsidRPr="00CC3DB5">
        <w:rPr>
          <w:sz w:val="22"/>
          <w:szCs w:val="22"/>
        </w:rPr>
        <w:t>non-coupled</w:t>
      </w:r>
      <w:r w:rsidR="004935CC" w:rsidRPr="00CC3DB5">
        <w:rPr>
          <w:sz w:val="22"/>
          <w:szCs w:val="22"/>
        </w:rPr>
        <w:t xml:space="preserve"> IHCs).</w:t>
      </w:r>
    </w:p>
    <w:p w14:paraId="2738BC14" w14:textId="008CA0CE" w:rsidR="00960116" w:rsidRPr="00CC3DB5" w:rsidRDefault="00960116" w:rsidP="007D51AC">
      <w:pPr>
        <w:ind w:firstLine="720"/>
        <w:jc w:val="both"/>
        <w:rPr>
          <w:sz w:val="22"/>
          <w:szCs w:val="22"/>
        </w:rPr>
      </w:pPr>
      <w:r w:rsidRPr="00CC3DB5">
        <w:rPr>
          <w:sz w:val="22"/>
          <w:szCs w:val="22"/>
        </w:rPr>
        <w:t xml:space="preserve"> A simple estimation shows how coupling improves the signal to noise ratio. Assuming </w:t>
      </w:r>
      <w:r w:rsidR="00501720" w:rsidRPr="00CC3DB5">
        <w:rPr>
          <w:sz w:val="22"/>
          <w:szCs w:val="22"/>
        </w:rPr>
        <w:t xml:space="preserve">unmodulated </w:t>
      </w:r>
      <w:r w:rsidR="00CF6914" w:rsidRPr="00CC3DB5">
        <w:rPr>
          <w:sz w:val="22"/>
          <w:szCs w:val="22"/>
        </w:rPr>
        <w:t xml:space="preserve">weak </w:t>
      </w:r>
      <w:r w:rsidRPr="00CC3DB5">
        <w:rPr>
          <w:sz w:val="22"/>
          <w:szCs w:val="22"/>
        </w:rPr>
        <w:t xml:space="preserve">input, the number of open mechanotransducer channels would fluctuate around an average value, e.g. four out of the 40 per IHC. At any time, the actual number of open channels is random, following a binomial distribution </w:t>
      </w:r>
      <w:r w:rsidRPr="00CC3DB5">
        <w:rPr>
          <w:rFonts w:ascii="Cambria Math" w:hAnsi="Cambria Math"/>
          <w:sz w:val="22"/>
          <w:szCs w:val="22"/>
        </w:rPr>
        <w:t>ℬ</w:t>
      </w:r>
      <w:r w:rsidR="00C036B8" w:rsidRPr="00CC3DB5">
        <w:rPr>
          <w:rFonts w:ascii="Cambria Math" w:hAnsi="Cambria Math"/>
          <w:sz w:val="22"/>
          <w:szCs w:val="22"/>
        </w:rPr>
        <w:t xml:space="preserve"> </w:t>
      </w:r>
      <w:r w:rsidRPr="00040DCF">
        <w:rPr>
          <w:sz w:val="22"/>
          <w:szCs w:val="22"/>
        </w:rPr>
        <w:t>(N</w:t>
      </w:r>
      <w:r w:rsidR="00C036B8" w:rsidRPr="00040DCF">
        <w:rPr>
          <w:sz w:val="22"/>
          <w:szCs w:val="22"/>
        </w:rPr>
        <w:t xml:space="preserve"> </w:t>
      </w:r>
      <w:r w:rsidRPr="00040DCF">
        <w:rPr>
          <w:sz w:val="22"/>
          <w:szCs w:val="22"/>
        </w:rPr>
        <w:t>=</w:t>
      </w:r>
      <w:r w:rsidR="00C036B8" w:rsidRPr="00040DCF">
        <w:rPr>
          <w:sz w:val="22"/>
          <w:szCs w:val="22"/>
        </w:rPr>
        <w:t xml:space="preserve"> </w:t>
      </w:r>
      <w:r w:rsidRPr="00040DCF">
        <w:rPr>
          <w:sz w:val="22"/>
          <w:szCs w:val="22"/>
        </w:rPr>
        <w:t>40, p</w:t>
      </w:r>
      <w:r w:rsidR="00C036B8" w:rsidRPr="00040DCF">
        <w:rPr>
          <w:sz w:val="22"/>
          <w:szCs w:val="22"/>
        </w:rPr>
        <w:t xml:space="preserve"> </w:t>
      </w:r>
      <w:r w:rsidRPr="00040DCF">
        <w:rPr>
          <w:sz w:val="22"/>
          <w:szCs w:val="22"/>
        </w:rPr>
        <w:t>=</w:t>
      </w:r>
      <w:r w:rsidR="00C036B8" w:rsidRPr="00040DCF">
        <w:rPr>
          <w:sz w:val="22"/>
          <w:szCs w:val="22"/>
        </w:rPr>
        <w:t xml:space="preserve"> </w:t>
      </w:r>
      <w:r w:rsidRPr="00040DCF">
        <w:rPr>
          <w:sz w:val="22"/>
          <w:szCs w:val="22"/>
        </w:rPr>
        <w:t>0.1)</w:t>
      </w:r>
      <w:r w:rsidRPr="00CC3DB5">
        <w:rPr>
          <w:sz w:val="22"/>
          <w:szCs w:val="22"/>
        </w:rPr>
        <w:t xml:space="preserve"> with a standard deviation of </w:t>
      </w:r>
      <w:r w:rsidRPr="00CC3DB5">
        <w:rPr>
          <w:i/>
          <w:sz w:val="22"/>
          <w:szCs w:val="22"/>
        </w:rPr>
        <w:t>SD</w:t>
      </w:r>
      <w:r w:rsidR="00C036B8" w:rsidRPr="00CC3DB5">
        <w:rPr>
          <w:i/>
          <w:sz w:val="22"/>
          <w:szCs w:val="22"/>
        </w:rPr>
        <w:t xml:space="preserve"> </w:t>
      </w:r>
      <w:r w:rsidRPr="00CC3DB5">
        <w:rPr>
          <w:i/>
          <w:sz w:val="22"/>
          <w:szCs w:val="22"/>
        </w:rPr>
        <w:t>= sqrt</w:t>
      </w:r>
      <w:r w:rsidR="00C036B8" w:rsidRPr="00CC3DB5">
        <w:rPr>
          <w:i/>
          <w:sz w:val="22"/>
          <w:szCs w:val="22"/>
        </w:rPr>
        <w:t xml:space="preserve"> </w:t>
      </w:r>
      <w:r w:rsidRPr="00CC3DB5">
        <w:rPr>
          <w:i/>
          <w:sz w:val="22"/>
          <w:szCs w:val="22"/>
        </w:rPr>
        <w:t>(N</w:t>
      </w:r>
      <w:r w:rsidR="00C036B8" w:rsidRPr="00CC3DB5">
        <w:rPr>
          <w:i/>
          <w:sz w:val="22"/>
          <w:szCs w:val="22"/>
        </w:rPr>
        <w:t xml:space="preserve"> </w:t>
      </w:r>
      <w:r w:rsidRPr="00CC3DB5">
        <w:rPr>
          <w:i/>
          <w:sz w:val="22"/>
          <w:szCs w:val="22"/>
        </w:rPr>
        <w:t>·</w:t>
      </w:r>
      <w:r w:rsidR="00C036B8" w:rsidRPr="00CC3DB5">
        <w:rPr>
          <w:i/>
          <w:sz w:val="22"/>
          <w:szCs w:val="22"/>
        </w:rPr>
        <w:t xml:space="preserve"> </w:t>
      </w:r>
      <w:r w:rsidRPr="00CC3DB5">
        <w:rPr>
          <w:i/>
          <w:sz w:val="22"/>
          <w:szCs w:val="22"/>
        </w:rPr>
        <w:t>p</w:t>
      </w:r>
      <w:r w:rsidR="00C036B8" w:rsidRPr="00CC3DB5">
        <w:rPr>
          <w:i/>
          <w:sz w:val="22"/>
          <w:szCs w:val="22"/>
        </w:rPr>
        <w:t xml:space="preserve"> </w:t>
      </w:r>
      <w:r w:rsidRPr="00CC3DB5">
        <w:rPr>
          <w:i/>
          <w:sz w:val="22"/>
          <w:szCs w:val="22"/>
        </w:rPr>
        <w:t>·</w:t>
      </w:r>
      <w:r w:rsidR="00C036B8" w:rsidRPr="00CC3DB5">
        <w:rPr>
          <w:i/>
          <w:sz w:val="22"/>
          <w:szCs w:val="22"/>
        </w:rPr>
        <w:t xml:space="preserve"> </w:t>
      </w:r>
      <w:r w:rsidRPr="00CC3DB5">
        <w:rPr>
          <w:i/>
          <w:sz w:val="22"/>
          <w:szCs w:val="22"/>
        </w:rPr>
        <w:t>(1</w:t>
      </w:r>
      <w:r w:rsidR="00C036B8" w:rsidRPr="00CC3DB5">
        <w:rPr>
          <w:i/>
          <w:sz w:val="22"/>
          <w:szCs w:val="22"/>
        </w:rPr>
        <w:t xml:space="preserve"> </w:t>
      </w:r>
      <w:r w:rsidRPr="00CC3DB5">
        <w:rPr>
          <w:i/>
          <w:sz w:val="22"/>
          <w:szCs w:val="22"/>
        </w:rPr>
        <w:t>-</w:t>
      </w:r>
      <w:r w:rsidR="00C036B8" w:rsidRPr="00CC3DB5">
        <w:rPr>
          <w:i/>
          <w:sz w:val="22"/>
          <w:szCs w:val="22"/>
        </w:rPr>
        <w:t xml:space="preserve"> </w:t>
      </w:r>
      <w:r w:rsidRPr="00CC3DB5">
        <w:rPr>
          <w:i/>
          <w:sz w:val="22"/>
          <w:szCs w:val="22"/>
        </w:rPr>
        <w:t>p))</w:t>
      </w:r>
      <w:r w:rsidR="00C036B8" w:rsidRPr="00CC3DB5">
        <w:rPr>
          <w:i/>
          <w:sz w:val="22"/>
          <w:szCs w:val="22"/>
        </w:rPr>
        <w:t xml:space="preserve"> </w:t>
      </w:r>
      <w:r w:rsidRPr="00CC3DB5">
        <w:rPr>
          <w:sz w:val="22"/>
          <w:szCs w:val="22"/>
        </w:rPr>
        <w:t>=</w:t>
      </w:r>
      <w:r w:rsidR="00C036B8" w:rsidRPr="00CC3DB5">
        <w:rPr>
          <w:sz w:val="22"/>
          <w:szCs w:val="22"/>
        </w:rPr>
        <w:t xml:space="preserve"> </w:t>
      </w:r>
      <w:r w:rsidRPr="00CC3DB5">
        <w:rPr>
          <w:sz w:val="22"/>
          <w:szCs w:val="22"/>
        </w:rPr>
        <w:t xml:space="preserve">1.90. In the extreme case of three completely fused cells, a common membrane voltage would be controlled by all 120 mechanotransduction channels. The open channel count would follow </w:t>
      </w:r>
      <w:r w:rsidRPr="00CC3DB5">
        <w:rPr>
          <w:rFonts w:ascii="Cambria Math" w:hAnsi="Cambria Math"/>
          <w:sz w:val="22"/>
          <w:szCs w:val="22"/>
        </w:rPr>
        <w:t>ℬ</w:t>
      </w:r>
      <w:r w:rsidR="00C036B8" w:rsidRPr="00CC3DB5">
        <w:rPr>
          <w:rFonts w:ascii="Cambria Math" w:hAnsi="Cambria Math"/>
          <w:sz w:val="22"/>
          <w:szCs w:val="22"/>
        </w:rPr>
        <w:t xml:space="preserve"> </w:t>
      </w:r>
      <w:r w:rsidRPr="00040DCF">
        <w:rPr>
          <w:sz w:val="22"/>
          <w:szCs w:val="22"/>
        </w:rPr>
        <w:t>(N</w:t>
      </w:r>
      <w:r w:rsidR="00C036B8" w:rsidRPr="00040DCF">
        <w:rPr>
          <w:sz w:val="22"/>
          <w:szCs w:val="22"/>
        </w:rPr>
        <w:t xml:space="preserve"> </w:t>
      </w:r>
      <w:r w:rsidRPr="00040DCF">
        <w:rPr>
          <w:sz w:val="22"/>
          <w:szCs w:val="22"/>
        </w:rPr>
        <w:t>=</w:t>
      </w:r>
      <w:r w:rsidR="00C036B8" w:rsidRPr="00040DCF">
        <w:rPr>
          <w:sz w:val="22"/>
          <w:szCs w:val="22"/>
        </w:rPr>
        <w:t xml:space="preserve"> </w:t>
      </w:r>
      <w:r w:rsidRPr="00040DCF">
        <w:rPr>
          <w:sz w:val="22"/>
          <w:szCs w:val="22"/>
        </w:rPr>
        <w:t>120, p</w:t>
      </w:r>
      <w:r w:rsidR="00C036B8" w:rsidRPr="00040DCF">
        <w:rPr>
          <w:sz w:val="22"/>
          <w:szCs w:val="22"/>
        </w:rPr>
        <w:t xml:space="preserve"> </w:t>
      </w:r>
      <w:r w:rsidRPr="00040DCF">
        <w:rPr>
          <w:sz w:val="22"/>
          <w:szCs w:val="22"/>
        </w:rPr>
        <w:t>=</w:t>
      </w:r>
      <w:r w:rsidR="00C036B8" w:rsidRPr="00040DCF">
        <w:rPr>
          <w:sz w:val="22"/>
          <w:szCs w:val="22"/>
        </w:rPr>
        <w:t xml:space="preserve"> </w:t>
      </w:r>
      <w:r w:rsidRPr="00040DCF">
        <w:rPr>
          <w:sz w:val="22"/>
          <w:szCs w:val="22"/>
        </w:rPr>
        <w:t>0.1)</w:t>
      </w:r>
      <w:r w:rsidRPr="00327AA6">
        <w:rPr>
          <w:sz w:val="22"/>
          <w:szCs w:val="22"/>
        </w:rPr>
        <w:t>,</w:t>
      </w:r>
      <w:r w:rsidRPr="00CC3DB5">
        <w:rPr>
          <w:sz w:val="22"/>
          <w:szCs w:val="22"/>
        </w:rPr>
        <w:t xml:space="preserve"> with 12 channels open on average and an SD of 3.29. Due to the coupling, the total number of mechanotransducer channels controlling the syncytium’s membrane </w:t>
      </w:r>
      <w:r w:rsidRPr="00CC3DB5">
        <w:rPr>
          <w:sz w:val="22"/>
          <w:szCs w:val="22"/>
        </w:rPr>
        <w:lastRenderedPageBreak/>
        <w:t>voltage becomes less noisy, the ratio between standard deviation and average drops from 0.47 to 0.27. The improved signal to noise ratio carries over to the fluctuations in the membrane voltage, and Ca</w:t>
      </w:r>
      <w:r w:rsidRPr="00CC3DB5">
        <w:rPr>
          <w:sz w:val="22"/>
          <w:szCs w:val="22"/>
          <w:vertAlign w:val="superscript"/>
        </w:rPr>
        <w:t>2+</w:t>
      </w:r>
      <w:r w:rsidR="00972F89" w:rsidRPr="00CC3DB5">
        <w:rPr>
          <w:sz w:val="22"/>
          <w:szCs w:val="22"/>
        </w:rPr>
        <w:t xml:space="preserve"> </w:t>
      </w:r>
      <w:r w:rsidRPr="00CC3DB5">
        <w:rPr>
          <w:sz w:val="22"/>
          <w:szCs w:val="22"/>
        </w:rPr>
        <w:t xml:space="preserve">channel opening. Therefore, the timing of vesicle release would be more synchronized across the synapses of three coupled IHCs as compared to synapses of </w:t>
      </w:r>
      <w:proofErr w:type="spellStart"/>
      <w:r w:rsidRPr="00CC3DB5">
        <w:rPr>
          <w:sz w:val="22"/>
          <w:szCs w:val="22"/>
        </w:rPr>
        <w:t>neighboring</w:t>
      </w:r>
      <w:proofErr w:type="spellEnd"/>
      <w:r w:rsidRPr="00CC3DB5">
        <w:rPr>
          <w:sz w:val="22"/>
          <w:szCs w:val="22"/>
        </w:rPr>
        <w:t xml:space="preserve"> but non-coupled IHCs. We determined the magnitude of this effect by simulation of mechanotransduction and Ca</w:t>
      </w:r>
      <w:r w:rsidRPr="00CC3DB5">
        <w:rPr>
          <w:sz w:val="22"/>
          <w:szCs w:val="22"/>
          <w:vertAlign w:val="superscript"/>
        </w:rPr>
        <w:t>2+</w:t>
      </w:r>
      <w:r w:rsidR="00972F89" w:rsidRPr="00CC3DB5">
        <w:rPr>
          <w:sz w:val="22"/>
          <w:szCs w:val="22"/>
        </w:rPr>
        <w:t xml:space="preserve"> </w:t>
      </w:r>
      <w:r w:rsidRPr="00CC3DB5">
        <w:rPr>
          <w:sz w:val="22"/>
          <w:szCs w:val="22"/>
        </w:rPr>
        <w:t xml:space="preserve">channel gating in non-coupled and coupled IHCs using stochastic ion channel models in the Neuron simulation environment (all code is published on the Neuron database). </w:t>
      </w:r>
    </w:p>
    <w:p w14:paraId="5C629E3E" w14:textId="77777777" w:rsidR="00960116" w:rsidRPr="00CC3DB5" w:rsidRDefault="00960116" w:rsidP="0096640C">
      <w:pPr>
        <w:jc w:val="both"/>
        <w:rPr>
          <w:sz w:val="22"/>
          <w:szCs w:val="22"/>
        </w:rPr>
      </w:pPr>
    </w:p>
    <w:p w14:paraId="43AE8C66" w14:textId="77777777" w:rsidR="0096640C" w:rsidRPr="00CC3DB5" w:rsidRDefault="0096640C" w:rsidP="0096640C">
      <w:pPr>
        <w:jc w:val="both"/>
        <w:outlineLvl w:val="0"/>
        <w:rPr>
          <w:b/>
          <w:sz w:val="22"/>
          <w:szCs w:val="22"/>
        </w:rPr>
      </w:pPr>
      <w:r w:rsidRPr="00CC3DB5">
        <w:rPr>
          <w:b/>
          <w:sz w:val="22"/>
          <w:szCs w:val="22"/>
        </w:rPr>
        <w:t>Model layout</w:t>
      </w:r>
    </w:p>
    <w:p w14:paraId="1A4CEEDD" w14:textId="2E01BC47" w:rsidR="0096640C" w:rsidRPr="00CC3DB5" w:rsidRDefault="0096640C" w:rsidP="00FA0D61">
      <w:pPr>
        <w:pStyle w:val="NormalWeb"/>
        <w:spacing w:before="0" w:beforeAutospacing="0" w:after="0" w:afterAutospacing="0" w:line="480" w:lineRule="auto"/>
        <w:jc w:val="both"/>
        <w:rPr>
          <w:sz w:val="22"/>
          <w:szCs w:val="22"/>
        </w:rPr>
      </w:pPr>
      <w:r w:rsidRPr="00CC3DB5">
        <w:rPr>
          <w:sz w:val="22"/>
          <w:szCs w:val="22"/>
        </w:rPr>
        <w:t xml:space="preserve">The simulation comprises of several IHCs, which are either isolated from each other or coupled by fusion sites. The passive properties of the IHC and the connections follow standard properties: the specific membrane capacitance, </w:t>
      </w:r>
      <w:r w:rsidRPr="00040DCF">
        <w:rPr>
          <w:sz w:val="22"/>
          <w:szCs w:val="22"/>
        </w:rPr>
        <w:t>c</w:t>
      </w:r>
      <w:r w:rsidRPr="00040DCF">
        <w:rPr>
          <w:sz w:val="22"/>
          <w:szCs w:val="22"/>
          <w:vertAlign w:val="subscript"/>
        </w:rPr>
        <w:t>m</w:t>
      </w:r>
      <w:r w:rsidR="001016E9">
        <w:rPr>
          <w:i/>
          <w:sz w:val="22"/>
          <w:szCs w:val="22"/>
          <w:vertAlign w:val="subscript"/>
        </w:rPr>
        <w:t xml:space="preserve"> </w:t>
      </w:r>
      <w:r w:rsidRPr="00CC3DB5">
        <w:rPr>
          <w:sz w:val="22"/>
          <w:szCs w:val="22"/>
        </w:rPr>
        <w:t>=</w:t>
      </w:r>
      <w:r w:rsidR="001016E9">
        <w:rPr>
          <w:sz w:val="22"/>
          <w:szCs w:val="22"/>
        </w:rPr>
        <w:t xml:space="preserve"> </w:t>
      </w:r>
      <w:r w:rsidRPr="00CC3DB5">
        <w:rPr>
          <w:sz w:val="22"/>
          <w:szCs w:val="22"/>
        </w:rPr>
        <w:t xml:space="preserve">10 </w:t>
      </w:r>
      <w:proofErr w:type="spellStart"/>
      <w:r w:rsidRPr="00CC3DB5">
        <w:rPr>
          <w:sz w:val="22"/>
          <w:szCs w:val="22"/>
        </w:rPr>
        <w:t>fF</w:t>
      </w:r>
      <w:proofErr w:type="spellEnd"/>
      <w:r w:rsidRPr="00CC3DB5">
        <w:rPr>
          <w:sz w:val="22"/>
          <w:szCs w:val="22"/>
        </w:rPr>
        <w:t xml:space="preserve">/µm²; intracellular resistivity </w:t>
      </w:r>
      <w:proofErr w:type="spellStart"/>
      <w:r w:rsidRPr="00040DCF">
        <w:rPr>
          <w:sz w:val="22"/>
          <w:szCs w:val="22"/>
        </w:rPr>
        <w:t>r</w:t>
      </w:r>
      <w:r w:rsidRPr="00040DCF">
        <w:rPr>
          <w:sz w:val="22"/>
          <w:szCs w:val="22"/>
          <w:vertAlign w:val="subscript"/>
        </w:rPr>
        <w:t>i</w:t>
      </w:r>
      <w:proofErr w:type="spellEnd"/>
      <w:r w:rsidR="001016E9">
        <w:rPr>
          <w:i/>
          <w:sz w:val="22"/>
          <w:szCs w:val="22"/>
          <w:vertAlign w:val="subscript"/>
        </w:rPr>
        <w:t xml:space="preserve"> </w:t>
      </w:r>
      <w:r w:rsidRPr="00CC3DB5">
        <w:rPr>
          <w:sz w:val="22"/>
          <w:szCs w:val="22"/>
        </w:rPr>
        <w:t>=</w:t>
      </w:r>
      <w:r w:rsidR="001016E9">
        <w:rPr>
          <w:sz w:val="22"/>
          <w:szCs w:val="22"/>
        </w:rPr>
        <w:t xml:space="preserve"> </w:t>
      </w:r>
      <w:r w:rsidRPr="00CC3DB5">
        <w:rPr>
          <w:sz w:val="22"/>
          <w:szCs w:val="22"/>
        </w:rPr>
        <w:t xml:space="preserve">120 </w:t>
      </w:r>
      <w:proofErr w:type="spellStart"/>
      <w:r w:rsidRPr="00CC3DB5">
        <w:rPr>
          <w:sz w:val="22"/>
          <w:szCs w:val="22"/>
        </w:rPr>
        <w:t>Ohm</w:t>
      </w:r>
      <w:r w:rsidR="00D02282" w:rsidRPr="00CC3DB5">
        <w:rPr>
          <w:rFonts w:ascii="MS Mincho" w:eastAsia="MS Mincho" w:hAnsi="MS Mincho" w:cs="MS Mincho"/>
          <w:b/>
          <w:bCs/>
        </w:rPr>
        <w:t>⋅</w:t>
      </w:r>
      <w:r w:rsidRPr="00CC3DB5">
        <w:rPr>
          <w:sz w:val="22"/>
          <w:szCs w:val="22"/>
        </w:rPr>
        <w:t>cm</w:t>
      </w:r>
      <w:proofErr w:type="spellEnd"/>
      <w:r w:rsidRPr="00CC3DB5">
        <w:rPr>
          <w:sz w:val="22"/>
          <w:szCs w:val="22"/>
        </w:rPr>
        <w:t xml:space="preserve"> and the specific membrane resistance, r</w:t>
      </w:r>
      <w:r w:rsidRPr="00CC3DB5">
        <w:rPr>
          <w:sz w:val="22"/>
          <w:szCs w:val="22"/>
          <w:vertAlign w:val="subscript"/>
        </w:rPr>
        <w:t>m</w:t>
      </w:r>
      <w:r w:rsidR="001016E9">
        <w:rPr>
          <w:sz w:val="22"/>
          <w:szCs w:val="22"/>
          <w:vertAlign w:val="subscript"/>
        </w:rPr>
        <w:t xml:space="preserve"> </w:t>
      </w:r>
      <w:r w:rsidRPr="00CC3DB5">
        <w:rPr>
          <w:sz w:val="22"/>
          <w:szCs w:val="22"/>
        </w:rPr>
        <w:t>= 250 Ohm</w:t>
      </w:r>
      <w:r w:rsidR="00D02282" w:rsidRPr="00CC3DB5">
        <w:rPr>
          <w:rFonts w:ascii="MS Mincho" w:eastAsia="MS Mincho" w:hAnsi="MS Mincho" w:cs="MS Mincho"/>
          <w:b/>
          <w:bCs/>
        </w:rPr>
        <w:t>⋅</w:t>
      </w:r>
      <w:r w:rsidRPr="00CC3DB5">
        <w:rPr>
          <w:sz w:val="22"/>
          <w:szCs w:val="22"/>
        </w:rPr>
        <w:t xml:space="preserve">cm² of the IHCs is chosen to obtain an effective membrane time constant of 250 µs </w:t>
      </w:r>
      <w:r w:rsidRPr="00CC3DB5">
        <w:rPr>
          <w:sz w:val="22"/>
          <w:szCs w:val="22"/>
        </w:rPr>
        <w:fldChar w:fldCharType="begin"/>
      </w:r>
      <w:r w:rsidR="00ED72E6" w:rsidRPr="00CC3DB5">
        <w:rPr>
          <w:sz w:val="22"/>
          <w:szCs w:val="22"/>
        </w:rPr>
        <w:instrText xml:space="preserve"> ADDIN ZOTERO_ITEM CSL_CITATION {"citationID":"myXwfSlT","properties":{"formattedCitation":"({\\i{}16})","plainCitation":"(16)","noteIndex":0},"citationItems":[{"id":23791,"uris":["http://zotero.org/users/598743/items/LK2LRKAB"],"uri":["http://zotero.org/users/598743/items/LK2LRKAB"],"itemData":{"id":23791,"type":"article-journal","container-title":"The Journal of Physiology","DOI":"10.1113/jphysiol.1983.sp014668","ISSN":"00223751","issue":"1","journalAbbreviation":"J Physiol","language":"en","page":"179-206","source":"DOI.org (Crossref)","title":"Low-frequency characteristics of intracellularly recorded receptor potentials in guinea-pig cochlear hair cells.","volume":"338","author":[{"family":"Russell","given":"I J"},{"family":"Sellick","given":"P M"}],"issued":{"date-parts":[["1983",5,1]]}}}],"schema":"https://github.com/citation-style-language/schema/raw/master/csl-citation.json"} </w:instrText>
      </w:r>
      <w:r w:rsidRPr="00CC3DB5">
        <w:rPr>
          <w:sz w:val="22"/>
          <w:szCs w:val="22"/>
        </w:rPr>
        <w:fldChar w:fldCharType="separate"/>
      </w:r>
      <w:r w:rsidR="00ED72E6" w:rsidRPr="00CC3DB5">
        <w:rPr>
          <w:rFonts w:eastAsia="Times New Roman"/>
          <w:sz w:val="22"/>
        </w:rPr>
        <w:t>(</w:t>
      </w:r>
      <w:r w:rsidR="00ED72E6" w:rsidRPr="00CC3DB5">
        <w:rPr>
          <w:rFonts w:eastAsia="Times New Roman"/>
          <w:i/>
          <w:iCs/>
          <w:sz w:val="22"/>
        </w:rPr>
        <w:t>16</w:t>
      </w:r>
      <w:r w:rsidR="00ED72E6" w:rsidRPr="00CC3DB5">
        <w:rPr>
          <w:rFonts w:eastAsia="Times New Roman"/>
          <w:sz w:val="22"/>
        </w:rPr>
        <w:t>)</w:t>
      </w:r>
      <w:r w:rsidRPr="00CC3DB5">
        <w:rPr>
          <w:sz w:val="22"/>
          <w:szCs w:val="22"/>
        </w:rPr>
        <w:fldChar w:fldCharType="end"/>
      </w:r>
      <w:r w:rsidRPr="00CC3DB5">
        <w:rPr>
          <w:sz w:val="22"/>
          <w:szCs w:val="22"/>
        </w:rPr>
        <w:t xml:space="preserve">. This basal conductance subsumes all channels that are open at rest. IHC-IHC fusion sites are approximated by 100 nm long, 78 nm wide tubes. This size is chosen to approximate a junctional resistance, </w:t>
      </w:r>
      <w:proofErr w:type="spellStart"/>
      <w:r w:rsidRPr="00CC3DB5">
        <w:rPr>
          <w:sz w:val="22"/>
          <w:szCs w:val="22"/>
        </w:rPr>
        <w:t>R</w:t>
      </w:r>
      <w:r w:rsidRPr="00CC3DB5">
        <w:rPr>
          <w:sz w:val="22"/>
          <w:szCs w:val="22"/>
          <w:vertAlign w:val="subscript"/>
        </w:rPr>
        <w:t>j</w:t>
      </w:r>
      <w:proofErr w:type="spellEnd"/>
      <w:r w:rsidR="00342AB6" w:rsidRPr="00CC3DB5">
        <w:rPr>
          <w:sz w:val="22"/>
          <w:szCs w:val="22"/>
        </w:rPr>
        <w:t xml:space="preserve"> of 25 </w:t>
      </w:r>
      <w:proofErr w:type="spellStart"/>
      <w:r w:rsidR="00342AB6" w:rsidRPr="00CC3DB5">
        <w:rPr>
          <w:sz w:val="22"/>
          <w:szCs w:val="22"/>
        </w:rPr>
        <w:t>MOhm</w:t>
      </w:r>
      <w:proofErr w:type="spellEnd"/>
      <w:r w:rsidR="00342AB6" w:rsidRPr="00CC3DB5">
        <w:rPr>
          <w:sz w:val="22"/>
          <w:szCs w:val="22"/>
        </w:rPr>
        <w:t>.</w:t>
      </w:r>
      <w:r w:rsidRPr="00CC3DB5">
        <w:rPr>
          <w:sz w:val="22"/>
          <w:szCs w:val="22"/>
        </w:rPr>
        <w:t xml:space="preserve"> For the numerical simulations, a cell is represented by 11 segments, a joint by 3 segments. Joints on different sides of an IHC are longitudinally offset so that they do not connect to the same segment. Stochastic gating of mechanotransducer channels and Ca</w:t>
      </w:r>
      <w:r w:rsidRPr="00CC3DB5">
        <w:rPr>
          <w:sz w:val="22"/>
          <w:szCs w:val="22"/>
          <w:vertAlign w:val="subscript"/>
        </w:rPr>
        <w:t>V</w:t>
      </w:r>
      <w:r w:rsidRPr="00CC3DB5">
        <w:rPr>
          <w:sz w:val="22"/>
          <w:szCs w:val="22"/>
        </w:rPr>
        <w:t>1.3 voltage dependent Ca</w:t>
      </w:r>
      <w:r w:rsidRPr="00CC3DB5">
        <w:rPr>
          <w:sz w:val="22"/>
          <w:szCs w:val="22"/>
          <w:vertAlign w:val="superscript"/>
        </w:rPr>
        <w:t>2+</w:t>
      </w:r>
      <w:r w:rsidR="001016E9">
        <w:rPr>
          <w:sz w:val="22"/>
          <w:szCs w:val="22"/>
        </w:rPr>
        <w:t xml:space="preserve"> </w:t>
      </w:r>
      <w:r w:rsidRPr="00CC3DB5">
        <w:rPr>
          <w:sz w:val="22"/>
          <w:szCs w:val="22"/>
        </w:rPr>
        <w:t xml:space="preserve">channels, are simulated with a variant of the Gillespie-Algorithm </w:t>
      </w:r>
      <w:r w:rsidRPr="00CC3DB5">
        <w:rPr>
          <w:sz w:val="22"/>
          <w:szCs w:val="22"/>
        </w:rPr>
        <w:fldChar w:fldCharType="begin"/>
      </w:r>
      <w:r w:rsidR="00ED72E6" w:rsidRPr="00CC3DB5">
        <w:rPr>
          <w:sz w:val="22"/>
          <w:szCs w:val="22"/>
        </w:rPr>
        <w:instrText xml:space="preserve"> ADDIN ZOTERO_ITEM CSL_CITATION {"citationID":"ngXkGM7S","properties":{"formattedCitation":"({\\i{}17})","plainCitation":"(17)","noteIndex":0},"citationItems":[{"id":16826,"uris":["http://zotero.org/users/598743/items/UYQYPE29"],"uri":["http://zotero.org/users/598743/items/UYQYPE29"],"itemData":{"id":16826,"type":"article-journal","abstract":"An exact method is presented for numerically calculating, within the framework of the stochastic formulation of chemical kinetics, the time evolution of any spatially homogeneous mixture of molecular species which interreact through a specified set of coupled chemical reaction channels. The method is a compact, computer-oriented, Monte Carlo simulation procedure. It should be particularly useful for modeling the transient behavior of well-mixed gas-phase systems in which many molecular species participate in many highly coupled chemical reactions. For “ordinary” chemical systems in which fluctuations and correlations play no significant role, the method stands as an alternative to the traditional procedure of numerically solving the deterministic reaction rate equations. For nonlinear systems near chemical instabilities, where fluctuations and correlations may invalidate the deterministic equations, the method constitutes an efficient way of numerically examining the predictions of the stochastic master equation. Although fully equivalent to the spatially homogeneous master equation, the numerical simulation algorithm presented here is more directly based on a newly defined entity called “the reaction probability density function.” The purpose of this article is to describe the mechanics of the simulation algorithm, and to establish in a rigorous, a priori manner its physical and mathematical validity; numerical applications to specific chemical systems will be presented in subsequent publications.","container-title":"Journal of Computational Physics","DOI":"10.1016/0021-9991(76)90041-3","ISSN":"0021-9991","issue":"4","journalAbbreviation":"Journal of Computational Physics","page":"403-434","source":"ScienceDirect","title":"A general method for numerically simulating the stochastic time evolution of coupled chemical reactions","volume":"22","author":[{"family":"Gillespie","given":"Daniel T"}],"issued":{"date-parts":[["1976",12,1]]}}}],"schema":"https://github.com/citation-style-language/schema/raw/master/csl-citation.json"} </w:instrText>
      </w:r>
      <w:r w:rsidRPr="00CC3DB5">
        <w:rPr>
          <w:sz w:val="22"/>
          <w:szCs w:val="22"/>
        </w:rPr>
        <w:fldChar w:fldCharType="separate"/>
      </w:r>
      <w:r w:rsidR="00ED72E6" w:rsidRPr="00CC3DB5">
        <w:rPr>
          <w:rFonts w:eastAsia="Times New Roman"/>
          <w:sz w:val="22"/>
        </w:rPr>
        <w:t>(</w:t>
      </w:r>
      <w:r w:rsidR="00ED72E6" w:rsidRPr="00CC3DB5">
        <w:rPr>
          <w:rFonts w:eastAsia="Times New Roman"/>
          <w:i/>
          <w:iCs/>
          <w:sz w:val="22"/>
        </w:rPr>
        <w:t>17</w:t>
      </w:r>
      <w:r w:rsidR="00ED72E6" w:rsidRPr="00CC3DB5">
        <w:rPr>
          <w:rFonts w:eastAsia="Times New Roman"/>
          <w:sz w:val="22"/>
        </w:rPr>
        <w:t>)</w:t>
      </w:r>
      <w:r w:rsidRPr="00CC3DB5">
        <w:rPr>
          <w:sz w:val="22"/>
          <w:szCs w:val="22"/>
        </w:rPr>
        <w:fldChar w:fldCharType="end"/>
      </w:r>
      <w:r w:rsidRPr="00CC3DB5">
        <w:rPr>
          <w:sz w:val="22"/>
          <w:szCs w:val="22"/>
        </w:rPr>
        <w:t xml:space="preserve"> that was adapted to work with the fixed time step of neuron simulations. To obtain statistics over many realizations of the Ca</w:t>
      </w:r>
      <w:r w:rsidRPr="00CC3DB5">
        <w:rPr>
          <w:sz w:val="22"/>
          <w:szCs w:val="22"/>
          <w:vertAlign w:val="subscript"/>
        </w:rPr>
        <w:t>V</w:t>
      </w:r>
      <w:r w:rsidRPr="00CC3DB5">
        <w:rPr>
          <w:sz w:val="22"/>
          <w:szCs w:val="22"/>
        </w:rPr>
        <w:t xml:space="preserve">1.3 gating, a </w:t>
      </w:r>
      <w:r w:rsidR="00367474" w:rsidRPr="00CC3DB5">
        <w:rPr>
          <w:sz w:val="22"/>
          <w:szCs w:val="22"/>
        </w:rPr>
        <w:t>two-step</w:t>
      </w:r>
      <w:r w:rsidRPr="00CC3DB5">
        <w:rPr>
          <w:sz w:val="22"/>
          <w:szCs w:val="22"/>
        </w:rPr>
        <w:t xml:space="preserve"> process is used. During the first run, the mechanotransducer channels are driven by the mechanical stimulus and gate stochastically. The number of open mechanotransducer channels is recorded at every time step. During the next thousands of runs, those open channel counts are played back while the gating of Ca</w:t>
      </w:r>
      <w:r w:rsidRPr="00CC3DB5">
        <w:rPr>
          <w:sz w:val="22"/>
          <w:szCs w:val="22"/>
          <w:vertAlign w:val="subscript"/>
        </w:rPr>
        <w:t>V</w:t>
      </w:r>
      <w:r w:rsidRPr="00CC3DB5">
        <w:rPr>
          <w:sz w:val="22"/>
          <w:szCs w:val="22"/>
        </w:rPr>
        <w:t>1.3 follows independent stochastic realizations. The output of these simulations, i.e. Ca</w:t>
      </w:r>
      <w:r w:rsidRPr="00CC3DB5">
        <w:rPr>
          <w:sz w:val="22"/>
          <w:szCs w:val="22"/>
          <w:vertAlign w:val="subscript"/>
        </w:rPr>
        <w:t>V</w:t>
      </w:r>
      <w:r w:rsidRPr="00CC3DB5">
        <w:rPr>
          <w:sz w:val="22"/>
          <w:szCs w:val="22"/>
        </w:rPr>
        <w:t xml:space="preserve">1.3 open events, are further processed to obtain release events and </w:t>
      </w:r>
      <w:r w:rsidR="00594E45" w:rsidRPr="00CC3DB5">
        <w:rPr>
          <w:sz w:val="22"/>
          <w:szCs w:val="22"/>
        </w:rPr>
        <w:t xml:space="preserve">AP </w:t>
      </w:r>
      <w:r w:rsidRPr="00CC3DB5">
        <w:rPr>
          <w:sz w:val="22"/>
          <w:szCs w:val="22"/>
        </w:rPr>
        <w:t>times, as described below.</w:t>
      </w:r>
    </w:p>
    <w:p w14:paraId="1BAC8325" w14:textId="77777777" w:rsidR="00624466" w:rsidRPr="00CC3DB5" w:rsidRDefault="00624466">
      <w:pPr>
        <w:spacing w:line="240" w:lineRule="auto"/>
        <w:rPr>
          <w:b/>
          <w:sz w:val="22"/>
          <w:szCs w:val="22"/>
        </w:rPr>
      </w:pPr>
      <w:r w:rsidRPr="00CC3DB5">
        <w:rPr>
          <w:b/>
          <w:sz w:val="22"/>
          <w:szCs w:val="22"/>
        </w:rPr>
        <w:br w:type="page"/>
      </w:r>
    </w:p>
    <w:p w14:paraId="4B763B13" w14:textId="45104178" w:rsidR="0096640C" w:rsidRPr="00CC3DB5" w:rsidRDefault="0096640C" w:rsidP="00FA0D61">
      <w:pPr>
        <w:jc w:val="both"/>
        <w:outlineLvl w:val="0"/>
        <w:rPr>
          <w:b/>
          <w:sz w:val="22"/>
          <w:szCs w:val="22"/>
        </w:rPr>
      </w:pPr>
      <w:r w:rsidRPr="00CC3DB5">
        <w:rPr>
          <w:b/>
          <w:sz w:val="22"/>
          <w:szCs w:val="22"/>
        </w:rPr>
        <w:lastRenderedPageBreak/>
        <w:t>Mechanotransducer channels and voltage-gated Ca</w:t>
      </w:r>
      <w:r w:rsidRPr="00CC3DB5">
        <w:rPr>
          <w:b/>
          <w:sz w:val="22"/>
          <w:szCs w:val="22"/>
          <w:vertAlign w:val="superscript"/>
        </w:rPr>
        <w:t>2+</w:t>
      </w:r>
      <w:r w:rsidR="00972F89" w:rsidRPr="00CC3DB5">
        <w:rPr>
          <w:b/>
          <w:sz w:val="22"/>
          <w:szCs w:val="22"/>
        </w:rPr>
        <w:t xml:space="preserve"> </w:t>
      </w:r>
      <w:r w:rsidRPr="00CC3DB5">
        <w:rPr>
          <w:b/>
          <w:sz w:val="22"/>
          <w:szCs w:val="22"/>
        </w:rPr>
        <w:t>channels</w:t>
      </w:r>
    </w:p>
    <w:p w14:paraId="11C512AF" w14:textId="40CC35D4" w:rsidR="0096640C" w:rsidRPr="00CC3DB5" w:rsidRDefault="0096640C" w:rsidP="00FA0D61">
      <w:pPr>
        <w:pStyle w:val="NormalWeb"/>
        <w:spacing w:before="0" w:beforeAutospacing="0" w:after="0" w:afterAutospacing="0" w:line="480" w:lineRule="auto"/>
        <w:jc w:val="both"/>
        <w:rPr>
          <w:sz w:val="22"/>
          <w:szCs w:val="22"/>
        </w:rPr>
      </w:pPr>
      <w:r w:rsidRPr="00CC3DB5">
        <w:rPr>
          <w:sz w:val="22"/>
          <w:szCs w:val="22"/>
        </w:rPr>
        <w:t xml:space="preserve">Forty mechanotransducer channels </w:t>
      </w:r>
      <w:r w:rsidR="009C76F7" w:rsidRPr="00CC3DB5">
        <w:rPr>
          <w:sz w:val="22"/>
          <w:szCs w:val="22"/>
        </w:rPr>
        <w:t xml:space="preserve">mediate mechanosensitive influx of cations (mostly potassium) </w:t>
      </w:r>
      <w:r w:rsidRPr="00CC3DB5">
        <w:rPr>
          <w:sz w:val="22"/>
          <w:szCs w:val="22"/>
        </w:rPr>
        <w:t xml:space="preserve">at the top end of each cell. They are driven by an external sinusoidal stimulus representing mechanical displacement in units of </w:t>
      </w:r>
      <w:proofErr w:type="spellStart"/>
      <w:r w:rsidRPr="00CC3DB5">
        <w:rPr>
          <w:sz w:val="22"/>
          <w:szCs w:val="22"/>
        </w:rPr>
        <w:t>nanometers</w:t>
      </w:r>
      <w:proofErr w:type="spellEnd"/>
      <w:r w:rsidRPr="00CC3DB5">
        <w:rPr>
          <w:sz w:val="22"/>
          <w:szCs w:val="22"/>
        </w:rPr>
        <w:t xml:space="preserve">. A mechanotransducer channel has two states (O, C), the speed and mechano-dependence of the transition are chosen to obtain properties as described in experimental studies </w:t>
      </w:r>
      <w:r w:rsidRPr="00CC3DB5">
        <w:rPr>
          <w:sz w:val="22"/>
          <w:szCs w:val="22"/>
        </w:rPr>
        <w:fldChar w:fldCharType="begin"/>
      </w:r>
      <w:r w:rsidR="00ED72E6" w:rsidRPr="00CC3DB5">
        <w:rPr>
          <w:sz w:val="22"/>
          <w:szCs w:val="22"/>
        </w:rPr>
        <w:instrText xml:space="preserve"> ADDIN ZOTERO_ITEM CSL_CITATION {"citationID":"yRSWXiyv","properties":{"formattedCitation":"({\\i{}13}, {\\i{}18})","plainCitation":"(13, 18)","noteIndex":0},"citationItems":[{"id":1153,"uris":["http://zotero.org/users/598743/items/9Z8G8QZU"],"uri":["http://zotero.org/users/598743/items/9Z8G8QZU"],"itemData":{"id":1153,"type":"article-journal","container-title":"Journal of Neuroscience","DOI":"10.1523/JNEUROSCI.2188-06.2006","ISSN":"0270-6474","issue":"43","journalAbbreviation":"Journal of Neuroscience","page":"10992-11000","source":"CrossRef","title":"A Large-Conductance Calcium-Selective Mechanotransducer Channel in Mammalian Cochlear Hair Cells","volume":"26","author":[{"family":"Beurg","given":"M."},{"family":"Evans","given":"M. G."},{"family":"Hackney","given":"C. M."},{"family":"Fettiplace","given":"R."}],"issued":{"date-parts":[["2006",10]]}}},{"id":12797,"uris":["http://zotero.org/users/598743/items/XTSAWHHZ"],"uri":["http://zotero.org/users/598743/items/XTSAWHHZ"],"itemData":{"id":12797,"type":"article-journal","abstract":"Much is known about the mechanotransducer (MT) channels mediating transduction in hair cells of the vertrbrate inner ear. With the use of isolated preparations, it is experimentally feasible to deliver precise mechanical stimuli to individual cells and record the ensuing transducer currents. This approach has shown that small (1-100 nm) deflections of the hair-cell stereociliary bundle are transmitted via interciliary tip links to open MT channels at the tops of the stereocilia. These channels are cation-permeable with a high selectivity for Ca(2+); two channels are thought to be localized at the lower end of the tip link, each with a large single-channel conductance that increases from the low- to high-frequency end of the cochlea. Ca(2+) influx through open channels regulates their resting open probability, which may contribute to setting the hair cell resting potential in vivo. Ca(2+) also controls transducer fast adaptation and force generation by the hair bundle, the two coupled processes increasing in speed from cochlear apex to base. The molecular intricacy of the stereocilary bundle and the transduction apparatus is reflected by the large number of single-gene mutations that are linked to sensorineural deafness, especially those in Usher syndrome. Studies of such mutants have led to the discovery of many of the molecules of the transduction complex, including the tip link and its attachments to the stereociliary core. However, the MT channel protein is still not firmly identified, nor is it known whether the channel is activated by force delivered through accessory proteins or by deformation of the lipid bilayer.","container-title":"Physiological Reviews","DOI":"10.1152/physrev.00038.2013","ISSN":"1522-1210","issue":"3","journalAbbreviation":"Physiol. Rev.","language":"eng","note":"PMID: 24987009\nPMCID: PMC4101631","page":"951-986","source":"PubMed","title":"The physiology of mechanoelectrical transduction channels in hearing","volume":"94","author":[{"family":"Fettiplace","given":"Robert"},{"family":"Kim","given":"Kyunghee X."}],"issued":{"date-parts":[["2014",7]]}}}],"schema":"https://github.com/citation-style-language/schema/raw/master/csl-citation.json"} </w:instrText>
      </w:r>
      <w:r w:rsidRPr="00CC3DB5">
        <w:rPr>
          <w:sz w:val="22"/>
          <w:szCs w:val="22"/>
        </w:rPr>
        <w:fldChar w:fldCharType="separate"/>
      </w:r>
      <w:r w:rsidR="00ED72E6" w:rsidRPr="00CC3DB5">
        <w:rPr>
          <w:rFonts w:eastAsia="Times New Roman"/>
          <w:sz w:val="22"/>
        </w:rPr>
        <w:t>(</w:t>
      </w:r>
      <w:r w:rsidR="00ED72E6" w:rsidRPr="00CC3DB5">
        <w:rPr>
          <w:rFonts w:eastAsia="Times New Roman"/>
          <w:i/>
          <w:iCs/>
          <w:sz w:val="22"/>
        </w:rPr>
        <w:t>13</w:t>
      </w:r>
      <w:r w:rsidR="00ED72E6" w:rsidRPr="00CC3DB5">
        <w:rPr>
          <w:rFonts w:eastAsia="Times New Roman"/>
          <w:sz w:val="22"/>
        </w:rPr>
        <w:t xml:space="preserve">, </w:t>
      </w:r>
      <w:r w:rsidR="00ED72E6" w:rsidRPr="00CC3DB5">
        <w:rPr>
          <w:rFonts w:eastAsia="Times New Roman"/>
          <w:i/>
          <w:iCs/>
          <w:sz w:val="22"/>
        </w:rPr>
        <w:t>18</w:t>
      </w:r>
      <w:r w:rsidR="00ED72E6" w:rsidRPr="00CC3DB5">
        <w:rPr>
          <w:rFonts w:eastAsia="Times New Roman"/>
          <w:sz w:val="22"/>
        </w:rPr>
        <w:t>)</w:t>
      </w:r>
      <w:r w:rsidRPr="00CC3DB5">
        <w:rPr>
          <w:sz w:val="22"/>
          <w:szCs w:val="22"/>
        </w:rPr>
        <w:fldChar w:fldCharType="end"/>
      </w:r>
      <w:r w:rsidRPr="00CC3DB5">
        <w:rPr>
          <w:sz w:val="22"/>
          <w:szCs w:val="22"/>
        </w:rPr>
        <w:t xml:space="preserve">, i.e. sub-millisecond opening and closing transitions and an open probability that increases </w:t>
      </w:r>
      <w:proofErr w:type="spellStart"/>
      <w:r w:rsidRPr="00CC3DB5">
        <w:rPr>
          <w:sz w:val="22"/>
          <w:szCs w:val="22"/>
        </w:rPr>
        <w:t>sigmoidally</w:t>
      </w:r>
      <w:proofErr w:type="spellEnd"/>
      <w:r w:rsidRPr="00CC3DB5">
        <w:rPr>
          <w:sz w:val="22"/>
          <w:szCs w:val="22"/>
        </w:rPr>
        <w:t xml:space="preserve"> with the displacement d. The range of displacement for which the open probability changes, is over-estimated in experiments using glass probes and it is under-estimated when using the fluid jet to stimulate </w:t>
      </w:r>
      <w:r w:rsidRPr="00CC3DB5">
        <w:rPr>
          <w:sz w:val="22"/>
          <w:szCs w:val="22"/>
        </w:rPr>
        <w:fldChar w:fldCharType="begin"/>
      </w:r>
      <w:r w:rsidR="00ED72E6" w:rsidRPr="00CC3DB5">
        <w:rPr>
          <w:sz w:val="22"/>
          <w:szCs w:val="22"/>
        </w:rPr>
        <w:instrText xml:space="preserve"> ADDIN ZOTERO_ITEM CSL_CITATION {"citationID":"a15v4cls28g","properties":{"formattedCitation":"({\\i{}13})","plainCitation":"(13)","noteIndex":0},"citationItems":[{"id":12797,"uris":["http://zotero.org/users/598743/items/XTSAWHHZ"],"uri":["http://zotero.org/users/598743/items/XTSAWHHZ"],"itemData":{"id":12797,"type":"article-journal","abstract":"Much is known about the mechanotransducer (MT) channels mediating transduction in hair cells of the vertrbrate inner ear. With the use of isolated preparations, it is experimentally feasible to deliver precise mechanical stimuli to individual cells and record the ensuing transducer currents. This approach has shown that small (1-100 nm) deflections of the hair-cell stereociliary bundle are transmitted via interciliary tip links to open MT channels at the tops of the stereocilia. These channels are cation-permeable with a high selectivity for Ca(2+); two channels are thought to be localized at the lower end of the tip link, each with a large single-channel conductance that increases from the low- to high-frequency end of the cochlea. Ca(2+) influx through open channels regulates their resting open probability, which may contribute to setting the hair cell resting potential in vivo. Ca(2+) also controls transducer fast adaptation and force generation by the hair bundle, the two coupled processes increasing in speed from cochlear apex to base. The molecular intricacy of the stereocilary bundle and the transduction apparatus is reflected by the large number of single-gene mutations that are linked to sensorineural deafness, especially those in Usher syndrome. Studies of such mutants have led to the discovery of many of the molecules of the transduction complex, including the tip link and its attachments to the stereociliary core. However, the MT channel protein is still not firmly identified, nor is it known whether the channel is activated by force delivered through accessory proteins or by deformation of the lipid bilayer.","container-title":"Physiological Reviews","DOI":"10.1152/physrev.00038.2013","ISSN":"1522-1210","issue":"3","journalAbbreviation":"Physiol. Rev.","language":"eng","note":"PMID: 24987009\nPMCID: PMC4101631","page":"951-986","source":"PubMed","title":"The physiology of mechanoelectrical transduction channels in hearing","volume":"94","author":[{"family":"Fettiplace","given":"Robert"},{"family":"Kim","given":"Kyunghee X."}],"issued":{"date-parts":[["2014",7]]}}}],"schema":"https://github.com/citation-style-language/schema/raw/master/csl-citation.json"} </w:instrText>
      </w:r>
      <w:r w:rsidRPr="00CC3DB5">
        <w:rPr>
          <w:sz w:val="22"/>
          <w:szCs w:val="22"/>
        </w:rPr>
        <w:fldChar w:fldCharType="separate"/>
      </w:r>
      <w:r w:rsidR="00ED72E6" w:rsidRPr="00CC3DB5">
        <w:rPr>
          <w:rFonts w:eastAsia="Times New Roman"/>
          <w:sz w:val="22"/>
        </w:rPr>
        <w:t>(</w:t>
      </w:r>
      <w:r w:rsidR="00ED72E6" w:rsidRPr="00CC3DB5">
        <w:rPr>
          <w:rFonts w:eastAsia="Times New Roman"/>
          <w:i/>
          <w:iCs/>
          <w:sz w:val="22"/>
        </w:rPr>
        <w:t>13</w:t>
      </w:r>
      <w:r w:rsidR="00ED72E6" w:rsidRPr="00CC3DB5">
        <w:rPr>
          <w:rFonts w:eastAsia="Times New Roman"/>
          <w:sz w:val="22"/>
        </w:rPr>
        <w:t>)</w:t>
      </w:r>
      <w:r w:rsidRPr="00CC3DB5">
        <w:rPr>
          <w:sz w:val="22"/>
          <w:szCs w:val="22"/>
        </w:rPr>
        <w:fldChar w:fldCharType="end"/>
      </w:r>
      <w:r w:rsidRPr="00CC3DB5">
        <w:rPr>
          <w:sz w:val="22"/>
          <w:szCs w:val="22"/>
        </w:rPr>
        <w:t>. Therefore, the value used here lies in between those experimental estimates. The opening and closing rates in ms</w:t>
      </w:r>
      <w:r w:rsidRPr="00CC3DB5">
        <w:rPr>
          <w:sz w:val="22"/>
          <w:szCs w:val="22"/>
          <w:vertAlign w:val="superscript"/>
        </w:rPr>
        <w:t>-1</w:t>
      </w:r>
      <w:r w:rsidRPr="00CC3DB5">
        <w:rPr>
          <w:sz w:val="22"/>
          <w:szCs w:val="22"/>
        </w:rPr>
        <w:t xml:space="preserve"> are </w:t>
      </w: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m:t>
            </m:r>
          </m:sub>
        </m:sSub>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max</m:t>
            </m:r>
          </m:sub>
        </m:sSub>
        <m:r>
          <m:rPr>
            <m:lit/>
          </m:rPr>
          <w:rPr>
            <w:rFonts w:ascii="Cambria Math" w:hAnsi="Cambria Math"/>
            <w:sz w:val="22"/>
            <w:szCs w:val="22"/>
          </w:rPr>
          <m:t>/</m:t>
        </m:r>
        <m:d>
          <m:dPr>
            <m:ctrlPr>
              <w:rPr>
                <w:rFonts w:ascii="Cambria Math" w:hAnsi="Cambria Math"/>
                <w:i/>
                <w:sz w:val="22"/>
                <w:szCs w:val="22"/>
              </w:rPr>
            </m:ctrlPr>
          </m:dPr>
          <m:e>
            <m:r>
              <w:rPr>
                <w:rFonts w:ascii="Cambria Math" w:hAnsi="Cambria Math"/>
                <w:sz w:val="22"/>
                <w:szCs w:val="22"/>
              </w:rPr>
              <m:t>1+</m:t>
            </m:r>
            <m:r>
              <m:rPr>
                <m:sty m:val="p"/>
              </m:rPr>
              <w:rPr>
                <w:rFonts w:ascii="Cambria Math" w:hAnsi="Cambria Math"/>
                <w:sz w:val="22"/>
                <w:szCs w:val="22"/>
              </w:rPr>
              <m:t>exp⁡</m:t>
            </m:r>
            <m:d>
              <m:dPr>
                <m:ctrlPr>
                  <w:rPr>
                    <w:rFonts w:ascii="Cambria Math" w:hAnsi="Cambria Math"/>
                    <w:i/>
                    <w:sz w:val="22"/>
                    <w:szCs w:val="22"/>
                  </w:rPr>
                </m:ctrlPr>
              </m:dPr>
              <m:e>
                <m:d>
                  <m:dPr>
                    <m:ctrlPr>
                      <w:rPr>
                        <w:rFonts w:ascii="Cambria Math" w:hAnsi="Cambria Math"/>
                        <w:i/>
                        <w:sz w:val="22"/>
                        <w:szCs w:val="22"/>
                      </w:rPr>
                    </m:ctrlPr>
                  </m:dPr>
                  <m:e>
                    <m:sSubSup>
                      <m:sSubSupPr>
                        <m:ctrlPr>
                          <w:rPr>
                            <w:rFonts w:ascii="Cambria Math" w:hAnsi="Cambria Math"/>
                            <w:i/>
                            <w:sz w:val="22"/>
                            <w:szCs w:val="22"/>
                          </w:rPr>
                        </m:ctrlPr>
                      </m:sSubSupPr>
                      <m:e>
                        <m:r>
                          <w:rPr>
                            <w:rFonts w:ascii="Cambria Math" w:hAnsi="Cambria Math"/>
                            <w:sz w:val="22"/>
                            <w:szCs w:val="22"/>
                          </w:rPr>
                          <m:t>s</m:t>
                        </m:r>
                      </m:e>
                      <m:sub>
                        <m:r>
                          <w:rPr>
                            <w:rFonts w:ascii="Cambria Math" w:hAnsi="Cambria Math"/>
                            <w:sz w:val="22"/>
                            <w:szCs w:val="22"/>
                          </w:rPr>
                          <m:t>1</m:t>
                        </m:r>
                        <m:r>
                          <m:rPr>
                            <m:lit/>
                          </m:rPr>
                          <w:rPr>
                            <w:rFonts w:ascii="Cambria Math" w:hAnsi="Cambria Math"/>
                            <w:sz w:val="22"/>
                            <w:szCs w:val="22"/>
                          </w:rPr>
                          <m:t>/</m:t>
                        </m:r>
                        <m:r>
                          <w:rPr>
                            <w:rFonts w:ascii="Cambria Math" w:hAnsi="Cambria Math"/>
                            <w:sz w:val="22"/>
                            <w:szCs w:val="22"/>
                          </w:rPr>
                          <m:t>2</m:t>
                        </m:r>
                      </m:sub>
                      <m:sup>
                        <m:r>
                          <w:rPr>
                            <w:rFonts w:ascii="Cambria Math" w:hAnsi="Cambria Math"/>
                            <w:sz w:val="22"/>
                            <w:szCs w:val="22"/>
                          </w:rPr>
                          <m:t>o</m:t>
                        </m:r>
                      </m:sup>
                    </m:sSubSup>
                    <m:r>
                      <w:rPr>
                        <w:rFonts w:ascii="Cambria Math" w:hAnsi="Cambria Math"/>
                        <w:sz w:val="22"/>
                        <w:szCs w:val="22"/>
                      </w:rPr>
                      <m:t>-d</m:t>
                    </m:r>
                  </m:e>
                </m:d>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o</m:t>
                    </m:r>
                  </m:sub>
                </m:sSub>
              </m:e>
            </m:d>
          </m:e>
        </m:d>
      </m:oMath>
      <w:r w:rsidRPr="00CC3DB5">
        <w:rPr>
          <w:sz w:val="22"/>
          <w:szCs w:val="22"/>
        </w:rPr>
        <w:t xml:space="preserve">; </w:t>
      </w: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m:t>
            </m:r>
          </m:sub>
        </m:sSub>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max</m:t>
            </m:r>
          </m:sub>
        </m:sSub>
        <m:r>
          <m:rPr>
            <m:lit/>
          </m:rPr>
          <w:rPr>
            <w:rFonts w:ascii="Cambria Math" w:hAnsi="Cambria Math"/>
            <w:sz w:val="22"/>
            <w:szCs w:val="22"/>
          </w:rPr>
          <m:t>/</m:t>
        </m:r>
        <m:d>
          <m:dPr>
            <m:ctrlPr>
              <w:rPr>
                <w:rFonts w:ascii="Cambria Math" w:hAnsi="Cambria Math"/>
                <w:i/>
                <w:sz w:val="22"/>
                <w:szCs w:val="22"/>
              </w:rPr>
            </m:ctrlPr>
          </m:dPr>
          <m:e>
            <m:r>
              <w:rPr>
                <w:rFonts w:ascii="Cambria Math" w:hAnsi="Cambria Math"/>
                <w:sz w:val="22"/>
                <w:szCs w:val="22"/>
              </w:rPr>
              <m:t>1+</m:t>
            </m:r>
            <m:r>
              <m:rPr>
                <m:sty m:val="p"/>
              </m:rPr>
              <w:rPr>
                <w:rFonts w:ascii="Cambria Math" w:hAnsi="Cambria Math"/>
                <w:sz w:val="22"/>
                <w:szCs w:val="22"/>
              </w:rPr>
              <m:t>exp⁡</m:t>
            </m:r>
            <m:d>
              <m:dPr>
                <m:ctrlPr>
                  <w:rPr>
                    <w:rFonts w:ascii="Cambria Math" w:hAnsi="Cambria Math"/>
                    <w:i/>
                    <w:sz w:val="22"/>
                    <w:szCs w:val="22"/>
                  </w:rPr>
                </m:ctrlPr>
              </m:dPr>
              <m:e>
                <m:d>
                  <m:dPr>
                    <m:ctrlPr>
                      <w:rPr>
                        <w:rFonts w:ascii="Cambria Math" w:hAnsi="Cambria Math"/>
                        <w:i/>
                        <w:sz w:val="22"/>
                        <w:szCs w:val="22"/>
                      </w:rPr>
                    </m:ctrlPr>
                  </m:dPr>
                  <m:e>
                    <m:sSubSup>
                      <m:sSubSupPr>
                        <m:ctrlPr>
                          <w:rPr>
                            <w:rFonts w:ascii="Cambria Math" w:hAnsi="Cambria Math"/>
                            <w:i/>
                            <w:sz w:val="22"/>
                            <w:szCs w:val="22"/>
                          </w:rPr>
                        </m:ctrlPr>
                      </m:sSubSupPr>
                      <m:e>
                        <m:r>
                          <w:rPr>
                            <w:rFonts w:ascii="Cambria Math" w:hAnsi="Cambria Math"/>
                            <w:sz w:val="22"/>
                            <w:szCs w:val="22"/>
                          </w:rPr>
                          <m:t>d-s</m:t>
                        </m:r>
                      </m:e>
                      <m:sub>
                        <m:r>
                          <w:rPr>
                            <w:rFonts w:ascii="Cambria Math" w:hAnsi="Cambria Math"/>
                            <w:sz w:val="22"/>
                            <w:szCs w:val="22"/>
                          </w:rPr>
                          <m:t>1</m:t>
                        </m:r>
                        <m:r>
                          <m:rPr>
                            <m:lit/>
                          </m:rPr>
                          <w:rPr>
                            <w:rFonts w:ascii="Cambria Math" w:hAnsi="Cambria Math"/>
                            <w:sz w:val="22"/>
                            <w:szCs w:val="22"/>
                          </w:rPr>
                          <m:t>/</m:t>
                        </m:r>
                        <m:r>
                          <w:rPr>
                            <w:rFonts w:ascii="Cambria Math" w:hAnsi="Cambria Math"/>
                            <w:sz w:val="22"/>
                            <w:szCs w:val="22"/>
                          </w:rPr>
                          <m:t>2</m:t>
                        </m:r>
                      </m:sub>
                      <m:sup>
                        <m:r>
                          <w:rPr>
                            <w:rFonts w:ascii="Cambria Math" w:hAnsi="Cambria Math"/>
                            <w:sz w:val="22"/>
                            <w:szCs w:val="22"/>
                          </w:rPr>
                          <m:t>c</m:t>
                        </m:r>
                      </m:sup>
                    </m:sSubSup>
                  </m:e>
                </m:d>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c</m:t>
                    </m:r>
                  </m:sub>
                </m:sSub>
              </m:e>
            </m:d>
          </m:e>
        </m:d>
      </m:oMath>
      <w:r w:rsidRPr="00CC3DB5">
        <w:rPr>
          <w:sz w:val="22"/>
          <w:szCs w:val="22"/>
        </w:rPr>
        <w:t xml:space="preserve"> given a displacement </w:t>
      </w:r>
      <w:r w:rsidRPr="00CC3DB5">
        <w:rPr>
          <w:i/>
          <w:sz w:val="22"/>
          <w:szCs w:val="22"/>
        </w:rPr>
        <w:t>d</w:t>
      </w:r>
      <w:r w:rsidRPr="00CC3DB5">
        <w:rPr>
          <w:sz w:val="22"/>
          <w:szCs w:val="22"/>
        </w:rPr>
        <w:t xml:space="preserve">. The parameters are </w:t>
      </w: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max</m:t>
            </m:r>
          </m:sub>
        </m:sSub>
        <m:r>
          <w:rPr>
            <w:rFonts w:ascii="Cambria Math" w:hAnsi="Cambria Math"/>
            <w:sz w:val="22"/>
            <w:szCs w:val="22"/>
          </w:rPr>
          <m:t>=16.9 m</m:t>
        </m:r>
        <m:sSup>
          <m:sSupPr>
            <m:ctrlPr>
              <w:rPr>
                <w:rFonts w:ascii="Cambria Math" w:hAnsi="Cambria Math"/>
                <w:i/>
                <w:sz w:val="22"/>
                <w:szCs w:val="22"/>
              </w:rPr>
            </m:ctrlPr>
          </m:sSupPr>
          <m:e>
            <m:r>
              <w:rPr>
                <w:rFonts w:ascii="Cambria Math" w:hAnsi="Cambria Math"/>
                <w:sz w:val="22"/>
                <w:szCs w:val="22"/>
              </w:rPr>
              <m:t>s</m:t>
            </m:r>
          </m:e>
          <m:sup>
            <m:r>
              <w:rPr>
                <w:rFonts w:ascii="Cambria Math" w:hAnsi="Cambria Math"/>
                <w:sz w:val="22"/>
                <w:szCs w:val="22"/>
              </w:rPr>
              <m:t>-1</m:t>
            </m:r>
          </m:sup>
        </m:sSup>
        <m:r>
          <w:rPr>
            <w:rFonts w:ascii="Cambria Math" w:hAnsi="Cambria Math"/>
            <w:sz w:val="22"/>
            <w:szCs w:val="22"/>
          </w:rPr>
          <m:t xml:space="preserve">; </m:t>
        </m:r>
        <m:sSubSup>
          <m:sSubSupPr>
            <m:ctrlPr>
              <w:rPr>
                <w:rFonts w:ascii="Cambria Math" w:hAnsi="Cambria Math"/>
                <w:i/>
                <w:sz w:val="22"/>
                <w:szCs w:val="22"/>
              </w:rPr>
            </m:ctrlPr>
          </m:sSubSupPr>
          <m:e>
            <m:r>
              <w:rPr>
                <w:rFonts w:ascii="Cambria Math" w:hAnsi="Cambria Math"/>
                <w:sz w:val="22"/>
                <w:szCs w:val="22"/>
              </w:rPr>
              <m:t>s</m:t>
            </m:r>
          </m:e>
          <m:sub>
            <m:r>
              <w:rPr>
                <w:rFonts w:ascii="Cambria Math" w:hAnsi="Cambria Math"/>
                <w:sz w:val="22"/>
                <w:szCs w:val="22"/>
              </w:rPr>
              <m:t>1</m:t>
            </m:r>
            <m:r>
              <m:rPr>
                <m:lit/>
              </m:rPr>
              <w:rPr>
                <w:rFonts w:ascii="Cambria Math" w:hAnsi="Cambria Math"/>
                <w:sz w:val="22"/>
                <w:szCs w:val="22"/>
              </w:rPr>
              <m:t>/</m:t>
            </m:r>
            <m:r>
              <w:rPr>
                <w:rFonts w:ascii="Cambria Math" w:hAnsi="Cambria Math"/>
                <w:sz w:val="22"/>
                <w:szCs w:val="22"/>
              </w:rPr>
              <m:t>2</m:t>
            </m:r>
          </m:sub>
          <m:sup>
            <m:r>
              <w:rPr>
                <w:rFonts w:ascii="Cambria Math" w:hAnsi="Cambria Math"/>
                <w:sz w:val="22"/>
                <w:szCs w:val="22"/>
              </w:rPr>
              <m:t>o</m:t>
            </m:r>
          </m:sup>
        </m:sSubSup>
        <m:r>
          <w:rPr>
            <w:rFonts w:ascii="Cambria Math" w:hAnsi="Cambria Math"/>
            <w:sz w:val="22"/>
            <w:szCs w:val="22"/>
          </w:rPr>
          <m:t xml:space="preserve">=179 nm; </m:t>
        </m:r>
        <m:sSubSup>
          <m:sSubSupPr>
            <m:ctrlPr>
              <w:rPr>
                <w:rFonts w:ascii="Cambria Math" w:hAnsi="Cambria Math"/>
                <w:i/>
                <w:sz w:val="22"/>
                <w:szCs w:val="22"/>
              </w:rPr>
            </m:ctrlPr>
          </m:sSubSupPr>
          <m:e>
            <m:r>
              <w:rPr>
                <w:rFonts w:ascii="Cambria Math" w:hAnsi="Cambria Math"/>
                <w:sz w:val="22"/>
                <w:szCs w:val="22"/>
              </w:rPr>
              <m:t>s</m:t>
            </m:r>
          </m:e>
          <m:sub>
            <m:r>
              <w:rPr>
                <w:rFonts w:ascii="Cambria Math" w:hAnsi="Cambria Math"/>
                <w:sz w:val="22"/>
                <w:szCs w:val="22"/>
              </w:rPr>
              <m:t>1</m:t>
            </m:r>
            <m:r>
              <m:rPr>
                <m:lit/>
              </m:rPr>
              <w:rPr>
                <w:rFonts w:ascii="Cambria Math" w:hAnsi="Cambria Math"/>
                <w:sz w:val="22"/>
                <w:szCs w:val="22"/>
              </w:rPr>
              <m:t>/</m:t>
            </m:r>
            <m:r>
              <w:rPr>
                <w:rFonts w:ascii="Cambria Math" w:hAnsi="Cambria Math"/>
                <w:sz w:val="22"/>
                <w:szCs w:val="22"/>
              </w:rPr>
              <m:t>2</m:t>
            </m:r>
          </m:sub>
          <m:sup>
            <m:r>
              <w:rPr>
                <w:rFonts w:ascii="Cambria Math" w:hAnsi="Cambria Math"/>
                <w:sz w:val="22"/>
                <w:szCs w:val="22"/>
              </w:rPr>
              <m:t>c</m:t>
            </m:r>
          </m:sup>
        </m:sSubSup>
        <m:r>
          <w:rPr>
            <w:rFonts w:ascii="Cambria Math" w:hAnsi="Cambria Math"/>
            <w:sz w:val="22"/>
            <w:szCs w:val="22"/>
          </w:rPr>
          <m:t>=-10 nm;</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o</m:t>
            </m:r>
          </m:sub>
        </m:sSub>
        <m:r>
          <w:rPr>
            <w:rFonts w:ascii="Cambria Math" w:hAnsi="Cambria Math"/>
            <w:sz w:val="22"/>
            <w:szCs w:val="22"/>
          </w:rPr>
          <m:t>=50.6 n</m:t>
        </m:r>
        <m:sSup>
          <m:sSupPr>
            <m:ctrlPr>
              <w:rPr>
                <w:rFonts w:ascii="Cambria Math" w:hAnsi="Cambria Math"/>
                <w:i/>
                <w:sz w:val="22"/>
                <w:szCs w:val="22"/>
              </w:rPr>
            </m:ctrlPr>
          </m:sSupPr>
          <m:e>
            <m:r>
              <w:rPr>
                <w:rFonts w:ascii="Cambria Math" w:hAnsi="Cambria Math"/>
                <w:sz w:val="22"/>
                <w:szCs w:val="22"/>
              </w:rPr>
              <m:t>m</m:t>
            </m:r>
          </m:e>
          <m:sup>
            <m:r>
              <w:rPr>
                <w:rFonts w:ascii="Cambria Math" w:hAnsi="Cambria Math"/>
                <w:sz w:val="22"/>
                <w:szCs w:val="22"/>
              </w:rPr>
              <m:t>-1</m:t>
            </m:r>
          </m:sup>
        </m:sSup>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c</m:t>
            </m:r>
          </m:sub>
        </m:sSub>
        <m:r>
          <w:rPr>
            <w:rFonts w:ascii="Cambria Math" w:hAnsi="Cambria Math"/>
            <w:sz w:val="22"/>
            <w:szCs w:val="22"/>
          </w:rPr>
          <m:t>=51.4 n</m:t>
        </m:r>
        <m:sSup>
          <m:sSupPr>
            <m:ctrlPr>
              <w:rPr>
                <w:rFonts w:ascii="Cambria Math" w:hAnsi="Cambria Math"/>
                <w:i/>
                <w:sz w:val="22"/>
                <w:szCs w:val="22"/>
              </w:rPr>
            </m:ctrlPr>
          </m:sSupPr>
          <m:e>
            <m:r>
              <w:rPr>
                <w:rFonts w:ascii="Cambria Math" w:hAnsi="Cambria Math"/>
                <w:sz w:val="22"/>
                <w:szCs w:val="22"/>
              </w:rPr>
              <m:t>m</m:t>
            </m:r>
          </m:e>
          <m:sup>
            <m:r>
              <w:rPr>
                <w:rFonts w:ascii="Cambria Math" w:hAnsi="Cambria Math"/>
                <w:sz w:val="22"/>
                <w:szCs w:val="22"/>
              </w:rPr>
              <m:t>-1</m:t>
            </m:r>
          </m:sup>
        </m:sSup>
      </m:oMath>
      <w:r w:rsidRPr="00CC3DB5">
        <w:rPr>
          <w:sz w:val="22"/>
          <w:szCs w:val="22"/>
        </w:rPr>
        <w:t xml:space="preserve">. Rates and open probability are visualized in </w:t>
      </w:r>
      <w:r w:rsidR="00217F2F" w:rsidRPr="00CC3DB5">
        <w:rPr>
          <w:sz w:val="22"/>
          <w:szCs w:val="22"/>
        </w:rPr>
        <w:t>Fig</w:t>
      </w:r>
      <w:r w:rsidRPr="00CC3DB5">
        <w:rPr>
          <w:sz w:val="22"/>
          <w:szCs w:val="22"/>
        </w:rPr>
        <w:t xml:space="preserve">. </w:t>
      </w:r>
      <w:r w:rsidR="009C76F7" w:rsidRPr="00CC3DB5">
        <w:rPr>
          <w:sz w:val="22"/>
          <w:szCs w:val="22"/>
        </w:rPr>
        <w:t>S</w:t>
      </w:r>
      <w:r w:rsidR="00333430" w:rsidRPr="00CC3DB5">
        <w:rPr>
          <w:sz w:val="22"/>
          <w:szCs w:val="22"/>
        </w:rPr>
        <w:t>11</w:t>
      </w:r>
      <w:r w:rsidRPr="00CC3DB5">
        <w:rPr>
          <w:sz w:val="22"/>
          <w:szCs w:val="22"/>
        </w:rPr>
        <w:t xml:space="preserve"> We </w:t>
      </w:r>
      <w:r w:rsidR="009C76F7" w:rsidRPr="00CC3DB5">
        <w:rPr>
          <w:sz w:val="22"/>
          <w:szCs w:val="22"/>
        </w:rPr>
        <w:t>aimed</w:t>
      </w:r>
      <w:r w:rsidRPr="00CC3DB5">
        <w:rPr>
          <w:sz w:val="22"/>
          <w:szCs w:val="22"/>
        </w:rPr>
        <w:t xml:space="preserve"> to use a realistic model that closely reproduces experimental results, even though the exact details of the mechanotransducer model are in no way crucial to the outcome of the simulation. The key aspect, the stochasticity of the voltage trajectory of individual cells, results from two main determinants: the low overall number of mechanotransducer channels and their sub-millisecond gating kinetics. Both parameters are experimentally documented in multiple studies.</w:t>
      </w:r>
    </w:p>
    <w:p w14:paraId="506A81B0" w14:textId="77777777" w:rsidR="0096640C" w:rsidRPr="00CC3DB5" w:rsidRDefault="0096640C" w:rsidP="00FA0D61">
      <w:pPr>
        <w:pStyle w:val="NormalWeb"/>
        <w:spacing w:before="0" w:beforeAutospacing="0" w:after="0" w:afterAutospacing="0" w:line="480" w:lineRule="auto"/>
        <w:jc w:val="both"/>
        <w:rPr>
          <w:b/>
          <w:sz w:val="22"/>
          <w:szCs w:val="22"/>
        </w:rPr>
      </w:pPr>
    </w:p>
    <w:p w14:paraId="3D0E252F" w14:textId="4760D45A" w:rsidR="000A0A89" w:rsidRPr="00CC3DB5" w:rsidRDefault="00D32C28" w:rsidP="0057493F">
      <w:pPr>
        <w:pStyle w:val="NormalWeb"/>
        <w:spacing w:before="0" w:beforeAutospacing="0" w:after="0" w:afterAutospacing="0" w:line="480" w:lineRule="auto"/>
        <w:jc w:val="center"/>
        <w:rPr>
          <w:rFonts w:eastAsiaTheme="minorHAnsi"/>
          <w:noProof/>
          <w:sz w:val="22"/>
          <w:szCs w:val="22"/>
          <w:lang w:val="en-US" w:eastAsia="en-US"/>
        </w:rPr>
      </w:pPr>
      <w:r w:rsidRPr="00CC3DB5">
        <w:rPr>
          <w:rFonts w:eastAsiaTheme="minorHAnsi"/>
          <w:noProof/>
          <w:sz w:val="22"/>
          <w:szCs w:val="22"/>
        </w:rPr>
        <w:lastRenderedPageBreak/>
        <w:drawing>
          <wp:inline distT="0" distB="0" distL="0" distR="0" wp14:anchorId="56693EBF" wp14:editId="403B8B6E">
            <wp:extent cx="3228975" cy="2819400"/>
            <wp:effectExtent l="0" t="0" r="9525" b="0"/>
            <wp:docPr id="1" name="Picture 3" descr="Fig S7 Model 08111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ig S7 Model 081119-0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228975" cy="2819400"/>
                    </a:xfrm>
                    <a:prstGeom prst="rect">
                      <a:avLst/>
                    </a:prstGeom>
                    <a:noFill/>
                    <a:ln>
                      <a:noFill/>
                    </a:ln>
                  </pic:spPr>
                </pic:pic>
              </a:graphicData>
            </a:graphic>
          </wp:inline>
        </w:drawing>
      </w:r>
    </w:p>
    <w:p w14:paraId="20FE2D08" w14:textId="4D2EF982" w:rsidR="0096640C" w:rsidRPr="00CC3DB5" w:rsidRDefault="0096640C" w:rsidP="7AA29AA8">
      <w:pPr>
        <w:pStyle w:val="NormalWeb"/>
        <w:spacing w:before="0" w:beforeAutospacing="0" w:after="0" w:afterAutospacing="0"/>
        <w:jc w:val="both"/>
        <w:rPr>
          <w:sz w:val="22"/>
          <w:szCs w:val="22"/>
        </w:rPr>
      </w:pPr>
      <w:r w:rsidRPr="7AA29AA8">
        <w:rPr>
          <w:b/>
          <w:bCs/>
          <w:sz w:val="22"/>
          <w:szCs w:val="22"/>
        </w:rPr>
        <w:t>Supplementary figure</w:t>
      </w:r>
      <w:r w:rsidR="00D92572">
        <w:rPr>
          <w:b/>
          <w:bCs/>
          <w:sz w:val="22"/>
          <w:szCs w:val="22"/>
        </w:rPr>
        <w:t xml:space="preserve"> </w:t>
      </w:r>
      <w:r w:rsidR="00333430" w:rsidRPr="7AA29AA8">
        <w:rPr>
          <w:b/>
          <w:bCs/>
          <w:sz w:val="22"/>
          <w:szCs w:val="22"/>
        </w:rPr>
        <w:t>11</w:t>
      </w:r>
      <w:r w:rsidRPr="7AA29AA8">
        <w:rPr>
          <w:b/>
          <w:bCs/>
          <w:sz w:val="22"/>
          <w:szCs w:val="22"/>
        </w:rPr>
        <w:t>: Implementation of ion channels and release event pruning</w:t>
      </w:r>
      <w:r w:rsidRPr="00CC3DB5">
        <w:rPr>
          <w:sz w:val="22"/>
          <w:szCs w:val="22"/>
        </w:rPr>
        <w:t xml:space="preserve">. </w:t>
      </w:r>
      <w:r w:rsidRPr="7AA29AA8">
        <w:rPr>
          <w:b/>
          <w:bCs/>
          <w:sz w:val="22"/>
          <w:szCs w:val="22"/>
        </w:rPr>
        <w:t>(</w:t>
      </w:r>
      <w:r w:rsidR="0057493F" w:rsidRPr="7AA29AA8">
        <w:rPr>
          <w:b/>
          <w:bCs/>
          <w:sz w:val="22"/>
          <w:szCs w:val="22"/>
        </w:rPr>
        <w:t>a</w:t>
      </w:r>
      <w:r w:rsidRPr="7AA29AA8">
        <w:rPr>
          <w:b/>
          <w:bCs/>
          <w:sz w:val="22"/>
          <w:szCs w:val="22"/>
        </w:rPr>
        <w:t xml:space="preserve">) </w:t>
      </w:r>
      <w:r w:rsidRPr="00CC3DB5">
        <w:rPr>
          <w:sz w:val="22"/>
          <w:szCs w:val="22"/>
        </w:rPr>
        <w:t xml:space="preserve">The model for mechanotransducer channels is designed to account for published experimental result. </w:t>
      </w:r>
      <w:r w:rsidRPr="7AA29AA8">
        <w:rPr>
          <w:b/>
          <w:bCs/>
          <w:sz w:val="22"/>
          <w:szCs w:val="22"/>
        </w:rPr>
        <w:t>(</w:t>
      </w:r>
      <w:r w:rsidR="0057493F" w:rsidRPr="7AA29AA8">
        <w:rPr>
          <w:b/>
          <w:bCs/>
          <w:sz w:val="22"/>
          <w:szCs w:val="22"/>
        </w:rPr>
        <w:t>b</w:t>
      </w:r>
      <w:r w:rsidRPr="7AA29AA8">
        <w:rPr>
          <w:b/>
          <w:bCs/>
          <w:sz w:val="22"/>
          <w:szCs w:val="22"/>
        </w:rPr>
        <w:t>)</w:t>
      </w:r>
      <w:r w:rsidRPr="00CC3DB5">
        <w:rPr>
          <w:sz w:val="22"/>
          <w:szCs w:val="22"/>
        </w:rPr>
        <w:t xml:space="preserve"> Ca</w:t>
      </w:r>
      <w:r w:rsidRPr="00CC3DB5">
        <w:rPr>
          <w:sz w:val="22"/>
          <w:szCs w:val="22"/>
          <w:vertAlign w:val="subscript"/>
        </w:rPr>
        <w:t>V</w:t>
      </w:r>
      <w:r w:rsidRPr="00CC3DB5">
        <w:rPr>
          <w:sz w:val="22"/>
          <w:szCs w:val="22"/>
        </w:rPr>
        <w:t xml:space="preserve">1.3 channels are implemented as described earlier </w:t>
      </w:r>
      <w:r w:rsidRPr="7AA29AA8">
        <w:fldChar w:fldCharType="begin"/>
      </w:r>
      <w:r w:rsidR="00ED72E6" w:rsidRPr="00CC3DB5">
        <w:rPr>
          <w:sz w:val="22"/>
          <w:szCs w:val="22"/>
        </w:rPr>
        <w:instrText xml:space="preserve"> ADDIN ZOTERO_ITEM CSL_CITATION {"citationID":"WV90C5IA","properties":{"formattedCitation":"({\\i{}19})","plainCitation":"(19)","noteIndex":0},"citationItems":[{"id":12362,"uris":["http://zotero.org/users/598743/items/SUMGNUEM"],"uri":["http://zotero.org/users/598743/items/SUMGNUEM"],"itemData":{"id":12362,"type":"article-journal","abstract":"Cochlear inner hair cells (IHCs) develop from pre-sensory pacemaker to sound transducer. Here, we report that this involves changes in structure and function of the ribbon synapses between IHCs and spiral ganglion neurons (SGNs) around hearing onset in mice. As synapses matured they changed from holding several small presynaptic active zones (AZs) and apposed postsynaptic densities (PSDs) to one large AZ/PSD complex per SGN bouton. After the onset of hearing (i) IHCs had fewer and larger ribbons; (ii) CaV1.3 channels formed stripe-like clusters rather than the smaller and round clusters at immature AZs; (iii) extrasynaptic CaV1.3-channels were selectively reduced, (iv) the intrinsic Ca2+ dependence of fast exocytosis probed by Ca2+ uncaging remained unchanged but (v) the apparent Ca2+ dependence of exocytosis linearized, when assessed by progressive dihydropyridine block of Ca2+ influx. Biophysical modeling of exocytosis at mature and immature AZ topographies suggests that Ca2+ influx through an individual channel dominates the [Ca2+] driving exocytosis at each mature release site. We conclude that IHC synapses undergo major developmental refinements, resulting in tighter spatial coupling between Ca2+ influx and exocytosis.","container-title":"The EMBO Journal","DOI":"10.1002/embj.201387110","ISSN":"0261-4189","issue":"3","journalAbbreviation":"EMBO J","language":"en","note":"PMID: 24442635\nPMCID: PMC3989618","page":"247-264","source":"PubMed Central","title":"Developmental refinement of hair cell synapses tightens the coupling of Ca2+ influx to exocytosis","volume":"33","author":[{"family":"Wong","given":"Aaron B"},{"family":"Rutherford","given":"Mark A"},{"family":"Gabrielaitis","given":"Mantas"},{"family":"Pangršič","given":"Tina"},{"family":"Göttfert","given":"Fabian"},{"family":"Frank","given":"Thomas"},{"family":"Michanski","given":"Susann"},{"family":"Hell","given":"Stefan"},{"family":"Wolf","given":"Fred"},{"family":"Wichmann","given":"Carolin"},{"family":"Moser","given":"Tobias"}],"issued":{"date-parts":[["2014",2,3]]}}}],"schema":"https://github.com/citation-style-language/schema/raw/master/csl-citation.json"} </w:instrText>
      </w:r>
      <w:r w:rsidRPr="7AA29AA8">
        <w:rPr>
          <w:sz w:val="22"/>
          <w:szCs w:val="22"/>
        </w:rPr>
        <w:fldChar w:fldCharType="separate"/>
      </w:r>
      <w:r w:rsidR="00ED72E6" w:rsidRPr="7AA29AA8">
        <w:rPr>
          <w:rFonts w:eastAsia="Times New Roman"/>
          <w:sz w:val="22"/>
          <w:szCs w:val="22"/>
        </w:rPr>
        <w:t>(</w:t>
      </w:r>
      <w:r w:rsidR="00ED72E6" w:rsidRPr="7AA29AA8">
        <w:rPr>
          <w:rFonts w:eastAsia="Times New Roman"/>
          <w:i/>
          <w:iCs/>
          <w:sz w:val="22"/>
          <w:szCs w:val="22"/>
        </w:rPr>
        <w:t>19</w:t>
      </w:r>
      <w:r w:rsidR="00ED72E6" w:rsidRPr="7AA29AA8">
        <w:rPr>
          <w:rFonts w:eastAsia="Times New Roman"/>
          <w:sz w:val="22"/>
          <w:szCs w:val="22"/>
        </w:rPr>
        <w:t>)</w:t>
      </w:r>
      <w:r w:rsidRPr="7AA29AA8">
        <w:fldChar w:fldCharType="end"/>
      </w:r>
      <w:r w:rsidRPr="00CC3DB5">
        <w:rPr>
          <w:sz w:val="22"/>
          <w:szCs w:val="22"/>
        </w:rPr>
        <w:t xml:space="preserve">, for details see text. </w:t>
      </w:r>
      <w:r w:rsidRPr="7AA29AA8">
        <w:rPr>
          <w:b/>
          <w:bCs/>
          <w:sz w:val="22"/>
          <w:szCs w:val="22"/>
        </w:rPr>
        <w:t>(</w:t>
      </w:r>
      <w:r w:rsidR="0057493F" w:rsidRPr="7AA29AA8">
        <w:rPr>
          <w:b/>
          <w:bCs/>
          <w:sz w:val="22"/>
          <w:szCs w:val="22"/>
        </w:rPr>
        <w:t>c</w:t>
      </w:r>
      <w:r w:rsidRPr="7AA29AA8">
        <w:rPr>
          <w:b/>
          <w:bCs/>
          <w:sz w:val="22"/>
          <w:szCs w:val="22"/>
        </w:rPr>
        <w:t>)</w:t>
      </w:r>
      <w:r w:rsidRPr="00CC3DB5">
        <w:rPr>
          <w:sz w:val="22"/>
          <w:szCs w:val="22"/>
        </w:rPr>
        <w:t xml:space="preserve"> Approximate times of release events were determined by long Ca</w:t>
      </w:r>
      <w:r w:rsidRPr="00CC3DB5">
        <w:rPr>
          <w:sz w:val="22"/>
          <w:szCs w:val="22"/>
          <w:vertAlign w:val="subscript"/>
        </w:rPr>
        <w:t>V</w:t>
      </w:r>
      <w:r w:rsidRPr="00CC3DB5">
        <w:rPr>
          <w:sz w:val="22"/>
          <w:szCs w:val="22"/>
        </w:rPr>
        <w:t>1.3 channel openings</w:t>
      </w:r>
      <w:r w:rsidR="000D786D" w:rsidRPr="00CC3DB5">
        <w:rPr>
          <w:sz w:val="22"/>
          <w:szCs w:val="22"/>
        </w:rPr>
        <w:t xml:space="preserve"> (600 µs and longer)</w:t>
      </w:r>
      <w:r w:rsidRPr="00CC3DB5">
        <w:rPr>
          <w:sz w:val="22"/>
          <w:szCs w:val="22"/>
        </w:rPr>
        <w:t>, for which Ca</w:t>
      </w:r>
      <w:r w:rsidRPr="00CC3DB5">
        <w:rPr>
          <w:sz w:val="22"/>
          <w:szCs w:val="22"/>
          <w:vertAlign w:val="superscript"/>
        </w:rPr>
        <w:t>2+</w:t>
      </w:r>
      <w:r w:rsidRPr="00CC3DB5">
        <w:rPr>
          <w:sz w:val="22"/>
          <w:szCs w:val="22"/>
        </w:rPr>
        <w:t xml:space="preserve"> influx is expected to be sufficient to trigger release in the Ca</w:t>
      </w:r>
      <w:r w:rsidRPr="00CC3DB5">
        <w:rPr>
          <w:sz w:val="22"/>
          <w:szCs w:val="22"/>
          <w:vertAlign w:val="superscript"/>
        </w:rPr>
        <w:t>2+</w:t>
      </w:r>
      <w:r w:rsidRPr="00CC3DB5">
        <w:rPr>
          <w:sz w:val="22"/>
          <w:szCs w:val="22"/>
        </w:rPr>
        <w:t xml:space="preserve"> nanodomain-like scenario </w:t>
      </w:r>
      <w:r w:rsidRPr="7AA29AA8">
        <w:fldChar w:fldCharType="begin"/>
      </w:r>
      <w:r w:rsidR="00ED72E6" w:rsidRPr="00CC3DB5">
        <w:rPr>
          <w:sz w:val="22"/>
          <w:szCs w:val="22"/>
        </w:rPr>
        <w:instrText xml:space="preserve"> ADDIN ZOTERO_ITEM CSL_CITATION {"citationID":"anc5q2s6nu","properties":{"formattedCitation":"({\\i{}19})","plainCitation":"(19)","noteIndex":0},"citationItems":[{"id":12362,"uris":["http://zotero.org/users/598743/items/SUMGNUEM"],"uri":["http://zotero.org/users/598743/items/SUMGNUEM"],"itemData":{"id":12362,"type":"article-journal","abstract":"Cochlear inner hair cells (IHCs) develop from pre-sensory pacemaker to sound transducer. Here, we report that this involves changes in structure and function of the ribbon synapses between IHCs and spiral ganglion neurons (SGNs) around hearing onset in mice. As synapses matured they changed from holding several small presynaptic active zones (AZs) and apposed postsynaptic densities (PSDs) to one large AZ/PSD complex per SGN bouton. After the onset of hearing (i) IHCs had fewer and larger ribbons; (ii) CaV1.3 channels formed stripe-like clusters rather than the smaller and round clusters at immature AZs; (iii) extrasynaptic CaV1.3-channels were selectively reduced, (iv) the intrinsic Ca2+ dependence of fast exocytosis probed by Ca2+ uncaging remained unchanged but (v) the apparent Ca2+ dependence of exocytosis linearized, when assessed by progressive dihydropyridine block of Ca2+ influx. Biophysical modeling of exocytosis at mature and immature AZ topographies suggests that Ca2+ influx through an individual channel dominates the [Ca2+] driving exocytosis at each mature release site. We conclude that IHC synapses undergo major developmental refinements, resulting in tighter spatial coupling between Ca2+ influx and exocytosis.","container-title":"The EMBO Journal","DOI":"10.1002/embj.201387110","ISSN":"0261-4189","issue":"3","journalAbbreviation":"EMBO J","language":"en","note":"PMID: 24442635\nPMCID: PMC3989618","page":"247-264","source":"PubMed Central","title":"Developmental refinement of hair cell synapses tightens the coupling of Ca2+ influx to exocytosis","volume":"33","author":[{"family":"Wong","given":"Aaron B"},{"family":"Rutherford","given":"Mark A"},{"family":"Gabrielaitis","given":"Mantas"},{"family":"Pangršič","given":"Tina"},{"family":"Göttfert","given":"Fabian"},{"family":"Frank","given":"Thomas"},{"family":"Michanski","given":"Susann"},{"family":"Hell","given":"Stefan"},{"family":"Wolf","given":"Fred"},{"family":"Wichmann","given":"Carolin"},{"family":"Moser","given":"Tobias"}],"issued":{"date-parts":[["2014",2,3]]}}}],"schema":"https://github.com/citation-style-language/schema/raw/master/csl-citation.json"} </w:instrText>
      </w:r>
      <w:r w:rsidRPr="7AA29AA8">
        <w:rPr>
          <w:sz w:val="22"/>
          <w:szCs w:val="22"/>
        </w:rPr>
        <w:fldChar w:fldCharType="separate"/>
      </w:r>
      <w:r w:rsidR="00ED72E6" w:rsidRPr="7AA29AA8">
        <w:rPr>
          <w:rFonts w:eastAsia="Times New Roman"/>
          <w:sz w:val="22"/>
          <w:szCs w:val="22"/>
        </w:rPr>
        <w:t>(</w:t>
      </w:r>
      <w:r w:rsidR="00ED72E6" w:rsidRPr="7AA29AA8">
        <w:rPr>
          <w:rFonts w:eastAsia="Times New Roman"/>
          <w:i/>
          <w:iCs/>
          <w:sz w:val="22"/>
          <w:szCs w:val="22"/>
        </w:rPr>
        <w:t>19</w:t>
      </w:r>
      <w:r w:rsidR="00ED72E6" w:rsidRPr="7AA29AA8">
        <w:rPr>
          <w:rFonts w:eastAsia="Times New Roman"/>
          <w:sz w:val="22"/>
          <w:szCs w:val="22"/>
        </w:rPr>
        <w:t>)</w:t>
      </w:r>
      <w:r w:rsidRPr="7AA29AA8">
        <w:fldChar w:fldCharType="end"/>
      </w:r>
      <w:r w:rsidRPr="00CC3DB5">
        <w:rPr>
          <w:sz w:val="22"/>
          <w:szCs w:val="22"/>
        </w:rPr>
        <w:t>. The top ten rows show time stamps at which an opening of the respective channel (#1 to 10) exceeded a duration of 600 µs. All ten channels are from the same cell, this is, all experienced the same voltage time course. Note that only a small fraction of openings (3%) last longer than this the 600</w:t>
      </w:r>
      <w:r w:rsidR="00217F2F" w:rsidRPr="00CC3DB5">
        <w:rPr>
          <w:sz w:val="22"/>
          <w:szCs w:val="22"/>
        </w:rPr>
        <w:t xml:space="preserve"> </w:t>
      </w:r>
      <w:r w:rsidRPr="00CC3DB5">
        <w:rPr>
          <w:sz w:val="22"/>
          <w:szCs w:val="22"/>
        </w:rPr>
        <w:t xml:space="preserve">µs cut-off. When all events from the ten channels are combined to approximate release events and then postsynaptic action potentials at the IHC ribbon synapse, nine out of 71 events are pruned (orange) when post-synaptic refractoriness is considered. The postsynaptic spike rate for this weak stimulus is on average 64 action potentials/s. </w:t>
      </w:r>
    </w:p>
    <w:p w14:paraId="52125B8E" w14:textId="77777777" w:rsidR="0096640C" w:rsidRPr="00CC3DB5" w:rsidRDefault="0096640C" w:rsidP="00FA0D61">
      <w:pPr>
        <w:pStyle w:val="NormalWeb"/>
        <w:spacing w:before="0" w:beforeAutospacing="0" w:after="0" w:afterAutospacing="0" w:line="480" w:lineRule="auto"/>
        <w:jc w:val="both"/>
        <w:rPr>
          <w:sz w:val="22"/>
          <w:szCs w:val="22"/>
        </w:rPr>
      </w:pPr>
    </w:p>
    <w:p w14:paraId="254F33A6" w14:textId="250B712C" w:rsidR="0096640C" w:rsidRPr="00CC3DB5" w:rsidRDefault="0096640C" w:rsidP="00FA0D61">
      <w:pPr>
        <w:pStyle w:val="NormalWeb"/>
        <w:spacing w:before="0" w:beforeAutospacing="0" w:after="0" w:afterAutospacing="0" w:line="480" w:lineRule="auto"/>
        <w:jc w:val="both"/>
        <w:rPr>
          <w:sz w:val="22"/>
          <w:szCs w:val="22"/>
        </w:rPr>
      </w:pPr>
      <w:r w:rsidRPr="00CC3DB5">
        <w:rPr>
          <w:sz w:val="22"/>
          <w:szCs w:val="22"/>
        </w:rPr>
        <w:t>The Ca</w:t>
      </w:r>
      <w:r w:rsidRPr="00CC3DB5">
        <w:rPr>
          <w:sz w:val="22"/>
          <w:szCs w:val="22"/>
          <w:vertAlign w:val="subscript"/>
        </w:rPr>
        <w:t>V</w:t>
      </w:r>
      <w:r w:rsidRPr="00CC3DB5">
        <w:rPr>
          <w:sz w:val="22"/>
          <w:szCs w:val="22"/>
        </w:rPr>
        <w:t>1.3 Ca</w:t>
      </w:r>
      <w:r w:rsidRPr="00CC3DB5">
        <w:rPr>
          <w:sz w:val="22"/>
          <w:szCs w:val="22"/>
          <w:vertAlign w:val="superscript"/>
        </w:rPr>
        <w:t>2+</w:t>
      </w:r>
      <w:r w:rsidR="00972F89" w:rsidRPr="00CC3DB5">
        <w:rPr>
          <w:sz w:val="22"/>
          <w:szCs w:val="22"/>
        </w:rPr>
        <w:t xml:space="preserve"> </w:t>
      </w:r>
      <w:r w:rsidRPr="00CC3DB5">
        <w:rPr>
          <w:sz w:val="22"/>
          <w:szCs w:val="22"/>
        </w:rPr>
        <w:t xml:space="preserve">channel gating parameters are obtained from experiments </w:t>
      </w:r>
      <w:r w:rsidRPr="00CC3DB5">
        <w:rPr>
          <w:sz w:val="22"/>
          <w:szCs w:val="22"/>
        </w:rPr>
        <w:fldChar w:fldCharType="begin"/>
      </w:r>
      <w:r w:rsidR="00ED72E6" w:rsidRPr="00CC3DB5">
        <w:rPr>
          <w:sz w:val="22"/>
          <w:szCs w:val="22"/>
        </w:rPr>
        <w:instrText xml:space="preserve"> ADDIN ZOTERO_ITEM CSL_CITATION {"citationID":"61yGhACX","properties":{"formattedCitation":"({\\i{}19}\\uc0\\u8211{}{\\i{}21})","plainCitation":"(19–21)","noteIndex":0},"citationItems":[{"id":12362,"uris":["http://zotero.org/users/598743/items/SUMGNUEM"],"uri":["http://zotero.org/users/598743/items/SUMGNUEM"],"itemData":{"id":12362,"type":"article-journal","abstract":"Cochlear inner hair cells (IHCs) develop from pre-sensory pacemaker to sound transducer. Here, we report that this involves changes in structure and function of the ribbon synapses between IHCs and spiral ganglion neurons (SGNs) around hearing onset in mice. As synapses matured they changed from holding several small presynaptic active zones (AZs) and apposed postsynaptic densities (PSDs) to one large AZ/PSD complex per SGN bouton. After the onset of hearing (i) IHCs had fewer and larger ribbons; (ii) CaV1.3 channels formed stripe-like clusters rather than the smaller and round clusters at immature AZs; (iii) extrasynaptic CaV1.3-channels were selectively reduced, (iv) the intrinsic Ca2+ dependence of fast exocytosis probed by Ca2+ uncaging remained unchanged but (v) the apparent Ca2+ dependence of exocytosis linearized, when assessed by progressive dihydropyridine block of Ca2+ influx. Biophysical modeling of exocytosis at mature and immature AZ topographies suggests that Ca2+ influx through an individual channel dominates the [Ca2+] driving exocytosis at each mature release site. We conclude that IHC synapses undergo major developmental refinements, resulting in tighter spatial coupling between Ca2+ influx and exocytosis.","container-title":"The EMBO Journal","DOI":"10.1002/embj.201387110","ISSN":"0261-4189","issue":"3","journalAbbreviation":"EMBO J","language":"en","note":"PMID: 24442635\nPMCID: PMC3989618","page":"247-264","source":"PubMed Central","title":"Developmental refinement of hair cell synapses tightens the coupling of Ca2+ influx to exocytosis","volume":"33","author":[{"family":"Wong","given":"Aaron B"},{"family":"Rutherford","given":"Mark A"},{"family":"Gabrielaitis","given":"Mantas"},{"family":"Pangršič","given":"Tina"},{"family":"Göttfert","given":"Fabian"},{"family":"Frank","given":"Thomas"},{"family":"Michanski","given":"Susann"},{"family":"Hell","given":"Stefan"},{"family":"Wolf","given":"Fred"},{"family":"Wichmann","given":"Carolin"},{"family":"Moser","given":"Tobias"}],"issued":{"date-parts":[["2014",2,3]]}}},{"id":154,"uris":["http://zotero.org/users/598743/items/DSM24CAW"],"uri":["http://zotero.org/users/598743/items/DSM24CAW"],"itemData":{"id":154,"type":"article-journal","container-title":"The Journal of Neuroscience","ISSN":"0270-6474","issue":"34","journalAbbreviation":"J Neurosci","note":"00000","page":"10730","source":"Google Scholar","title":"The Ca2+ Channel Subunit beta2 Regulates Ca2+ Channel Abundance and Function in Inner Hair Cells and Is Required for Hearing","volume":"29","author":[{"family":"Neef","given":"J."},{"family":"Gehrt","given":"A."},{"family":"Bulankina","given":"A. V"},{"family":"Meyer","given":"A. C"},{"family":"Riedel","given":"D."},{"family":"Gregg","given":"R. G"},{"family":"Strenzke","given":"N."},{"family":"Moser","given":"T."}],"issued":{"date-parts":[["2009"]]}}},{"id":16827,"uris":["http://zotero.org/users/598743/items/VQJ38P5D"],"uri":["http://zotero.org/users/598743/items/VQJ38P5D"],"itemData":{"id":16827,"type":"article-journal","abstract":"Information about the auditory world enters the mammalian brain through ribbon synapses of inner hair cells. Due to their fundamental role in auditory processing, these nanoscopic structures have recently received a lot of attention from the research community. The complexity of the system requires to go beyond the standard biological approaches and apply multidisciplinary methods. In this dissertation, a set of contributions to unravel the organization and function of inner hair cell ribbon synapses by using tools of mathematical modeling are presented.","language":"eng","source":"ediss.uni-goettingen.de","title":"Mathematical modeling of the structure and function of inner hair cell ribbon synapses","URL":"https://ediss.uni-goettingen.de/handle/11858/00-1735-0000-002B-7D2F-6","author":[{"family":"Gabrielaitis","given":"Mantas"}],"accessed":{"date-parts":[["2019",9,2]]},"issued":{"date-parts":[["2017",2,3]]}}}],"schema":"https://github.com/citation-style-language/schema/raw/master/csl-citation.json"} </w:instrText>
      </w:r>
      <w:r w:rsidRPr="00CC3DB5">
        <w:rPr>
          <w:sz w:val="22"/>
          <w:szCs w:val="22"/>
        </w:rPr>
        <w:fldChar w:fldCharType="separate"/>
      </w:r>
      <w:r w:rsidR="00ED72E6" w:rsidRPr="00CC3DB5">
        <w:rPr>
          <w:rFonts w:eastAsia="Times New Roman"/>
          <w:sz w:val="22"/>
        </w:rPr>
        <w:t>(</w:t>
      </w:r>
      <w:r w:rsidR="00ED72E6" w:rsidRPr="00CC3DB5">
        <w:rPr>
          <w:rFonts w:eastAsia="Times New Roman"/>
          <w:i/>
          <w:iCs/>
          <w:sz w:val="22"/>
        </w:rPr>
        <w:t>19</w:t>
      </w:r>
      <w:r w:rsidR="00ED72E6" w:rsidRPr="00CC3DB5">
        <w:rPr>
          <w:rFonts w:eastAsia="Times New Roman"/>
          <w:sz w:val="22"/>
        </w:rPr>
        <w:t>–</w:t>
      </w:r>
      <w:r w:rsidR="00ED72E6" w:rsidRPr="00CC3DB5">
        <w:rPr>
          <w:rFonts w:eastAsia="Times New Roman"/>
          <w:i/>
          <w:iCs/>
          <w:sz w:val="22"/>
        </w:rPr>
        <w:t>21</w:t>
      </w:r>
      <w:r w:rsidR="00ED72E6" w:rsidRPr="00CC3DB5">
        <w:rPr>
          <w:rFonts w:eastAsia="Times New Roman"/>
          <w:sz w:val="22"/>
        </w:rPr>
        <w:t>)</w:t>
      </w:r>
      <w:r w:rsidRPr="00CC3DB5">
        <w:rPr>
          <w:sz w:val="22"/>
          <w:szCs w:val="22"/>
        </w:rPr>
        <w:fldChar w:fldCharType="end"/>
      </w:r>
      <w:r w:rsidRPr="00CC3DB5">
        <w:rPr>
          <w:sz w:val="22"/>
          <w:szCs w:val="22"/>
        </w:rPr>
        <w:t>, derived as described before. In short, the channel has two closed and one open state with the following transitions:</w:t>
      </w:r>
    </w:p>
    <w:p w14:paraId="6A7D31B5" w14:textId="77777777" w:rsidR="0096640C" w:rsidRPr="00CC3DB5" w:rsidRDefault="00040DCF" w:rsidP="00FA0D61">
      <w:pPr>
        <w:pStyle w:val="NormalWeb"/>
        <w:spacing w:before="0" w:beforeAutospacing="0" w:after="0" w:afterAutospacing="0" w:line="480" w:lineRule="auto"/>
        <w:jc w:val="both"/>
        <w:rPr>
          <w:iCs/>
          <w:sz w:val="22"/>
          <w:szCs w:val="22"/>
        </w:rPr>
      </w:pPr>
      <m:oMathPara>
        <m:oMath>
          <m:sSub>
            <m:sSubPr>
              <m:ctrlPr>
                <w:rPr>
                  <w:rFonts w:ascii="Cambria Math" w:hAnsi="Cambria Math"/>
                  <w:sz w:val="22"/>
                  <w:szCs w:val="22"/>
                </w:rPr>
              </m:ctrlPr>
            </m:sSubPr>
            <m:e>
              <m:r>
                <w:rPr>
                  <w:rFonts w:ascii="Cambria Math" w:hAnsi="Cambria Math"/>
                  <w:sz w:val="22"/>
                  <w:szCs w:val="22"/>
                </w:rPr>
                <m:t>C</m:t>
              </m:r>
            </m:e>
            <m:sub>
              <m:r>
                <m:rPr>
                  <m:sty m:val="p"/>
                </m:rPr>
                <w:rPr>
                  <w:rFonts w:ascii="Cambria Math" w:hAnsi="Cambria Math"/>
                  <w:sz w:val="22"/>
                  <w:szCs w:val="22"/>
                </w:rPr>
                <m:t>1</m:t>
              </m:r>
            </m:sub>
          </m:sSub>
          <m:m>
            <m:mPr>
              <m:mcs>
                <m:mc>
                  <m:mcPr>
                    <m:count m:val="1"/>
                    <m:mcJc m:val="center"/>
                  </m:mcPr>
                </m:mc>
              </m:mcs>
              <m:ctrlPr>
                <w:rPr>
                  <w:rFonts w:ascii="Cambria Math" w:hAnsi="Cambria Math"/>
                  <w:sz w:val="22"/>
                  <w:szCs w:val="22"/>
                </w:rPr>
              </m:ctrlPr>
            </m:mPr>
            <m:mr>
              <m:e>
                <m:groupChr>
                  <m:groupChrPr>
                    <m:chr m:val="→"/>
                    <m:vertJc m:val="bot"/>
                    <m:ctrlPr>
                      <w:rPr>
                        <w:rFonts w:ascii="Cambria Math" w:hAnsi="Cambria Math"/>
                        <w:sz w:val="22"/>
                        <w:szCs w:val="22"/>
                      </w:rPr>
                    </m:ctrlPr>
                  </m:groupChrPr>
                  <m:e>
                    <m:r>
                      <m:rPr>
                        <m:nor/>
                      </m:rPr>
                      <w:rPr>
                        <w:sz w:val="22"/>
                        <w:szCs w:val="22"/>
                      </w:rPr>
                      <m:t>2</m:t>
                    </m:r>
                    <m:sSub>
                      <m:sSubPr>
                        <m:ctrlPr>
                          <w:rPr>
                            <w:rFonts w:ascii="Cambria Math" w:hAnsi="Cambria Math"/>
                            <w:sz w:val="22"/>
                            <w:szCs w:val="22"/>
                          </w:rPr>
                        </m:ctrlPr>
                      </m:sSubPr>
                      <m:e>
                        <m:r>
                          <m:rPr>
                            <m:sty m:val="p"/>
                          </m:rPr>
                          <w:rPr>
                            <w:rFonts w:ascii="Cambria Math" w:hAnsi="Cambria Math"/>
                            <w:sz w:val="22"/>
                            <w:szCs w:val="22"/>
                          </w:rPr>
                          <m:t>k</m:t>
                        </m:r>
                      </m:e>
                      <m:sub>
                        <m:r>
                          <m:rPr>
                            <m:sty m:val="p"/>
                          </m:rPr>
                          <w:rPr>
                            <w:rFonts w:ascii="Cambria Math" w:hAnsi="Cambria Math"/>
                            <w:sz w:val="22"/>
                            <w:szCs w:val="22"/>
                          </w:rPr>
                          <m:t>+</m:t>
                        </m:r>
                      </m:sub>
                    </m:sSub>
                  </m:e>
                </m:groupChr>
              </m:e>
            </m:mr>
            <m:mr>
              <m:e>
                <m:groupChr>
                  <m:groupChrPr>
                    <m:chr m:val="←"/>
                    <m:pos m:val="top"/>
                    <m:ctrlPr>
                      <w:rPr>
                        <w:rFonts w:ascii="Cambria Math" w:hAnsi="Cambria Math"/>
                        <w:sz w:val="22"/>
                        <w:szCs w:val="22"/>
                      </w:rPr>
                    </m:ctrlPr>
                  </m:groupChrPr>
                  <m:e>
                    <m:sSub>
                      <m:sSubPr>
                        <m:ctrlPr>
                          <w:rPr>
                            <w:rFonts w:ascii="Cambria Math" w:hAnsi="Cambria Math"/>
                            <w:sz w:val="22"/>
                            <w:szCs w:val="22"/>
                          </w:rPr>
                        </m:ctrlPr>
                      </m:sSubPr>
                      <m:e>
                        <m:r>
                          <w:rPr>
                            <w:rFonts w:ascii="Cambria Math" w:hAnsi="Cambria Math"/>
                            <w:sz w:val="22"/>
                            <w:szCs w:val="22"/>
                          </w:rPr>
                          <m:t xml:space="preserve"> k</m:t>
                        </m:r>
                      </m:e>
                      <m:sub>
                        <m:r>
                          <m:rPr>
                            <m:sty m:val="p"/>
                          </m:rPr>
                          <w:rPr>
                            <w:rFonts w:ascii="Cambria Math" w:hAnsi="Cambria Math"/>
                            <w:sz w:val="22"/>
                            <w:szCs w:val="22"/>
                          </w:rPr>
                          <m:t>-</m:t>
                        </m:r>
                      </m:sub>
                    </m:sSub>
                  </m:e>
                </m:groupChr>
              </m:e>
            </m:mr>
          </m:m>
          <m:sSub>
            <m:sSubPr>
              <m:ctrlPr>
                <w:rPr>
                  <w:rFonts w:ascii="Cambria Math" w:hAnsi="Cambria Math"/>
                  <w:sz w:val="22"/>
                  <w:szCs w:val="22"/>
                </w:rPr>
              </m:ctrlPr>
            </m:sSubPr>
            <m:e>
              <m:r>
                <w:rPr>
                  <w:rFonts w:ascii="Cambria Math" w:hAnsi="Cambria Math"/>
                  <w:sz w:val="22"/>
                  <w:szCs w:val="22"/>
                </w:rPr>
                <m:t>C</m:t>
              </m:r>
            </m:e>
            <m:sub>
              <m:r>
                <m:rPr>
                  <m:sty m:val="p"/>
                </m:rPr>
                <w:rPr>
                  <w:rFonts w:ascii="Cambria Math" w:hAnsi="Cambria Math"/>
                  <w:sz w:val="22"/>
                  <w:szCs w:val="22"/>
                </w:rPr>
                <m:t>2</m:t>
              </m:r>
            </m:sub>
          </m:sSub>
          <m:m>
            <m:mPr>
              <m:mcs>
                <m:mc>
                  <m:mcPr>
                    <m:count m:val="1"/>
                    <m:mcJc m:val="center"/>
                  </m:mcPr>
                </m:mc>
              </m:mcs>
              <m:ctrlPr>
                <w:rPr>
                  <w:rFonts w:ascii="Cambria Math" w:hAnsi="Cambria Math"/>
                  <w:sz w:val="22"/>
                  <w:szCs w:val="22"/>
                </w:rPr>
              </m:ctrlPr>
            </m:mPr>
            <m:mr>
              <m:e>
                <m:groupChr>
                  <m:groupChrPr>
                    <m:chr m:val="→"/>
                    <m:vertJc m:val="bot"/>
                    <m:ctrlPr>
                      <w:rPr>
                        <w:rFonts w:ascii="Cambria Math" w:hAnsi="Cambria Math"/>
                        <w:sz w:val="22"/>
                        <w:szCs w:val="22"/>
                      </w:rPr>
                    </m:ctrlPr>
                  </m:groupChrPr>
                  <m:e>
                    <m:sSub>
                      <m:sSubPr>
                        <m:ctrlPr>
                          <w:rPr>
                            <w:rFonts w:ascii="Cambria Math" w:hAnsi="Cambria Math"/>
                            <w:sz w:val="22"/>
                            <w:szCs w:val="22"/>
                          </w:rPr>
                        </m:ctrlPr>
                      </m:sSubPr>
                      <m:e>
                        <m:r>
                          <m:rPr>
                            <m:sty m:val="p"/>
                          </m:rPr>
                          <w:rPr>
                            <w:rFonts w:ascii="Cambria Math" w:hAnsi="Cambria Math"/>
                            <w:sz w:val="22"/>
                            <w:szCs w:val="22"/>
                          </w:rPr>
                          <m:t>k</m:t>
                        </m:r>
                      </m:e>
                      <m:sub>
                        <m:r>
                          <m:rPr>
                            <m:sty m:val="p"/>
                          </m:rPr>
                          <w:rPr>
                            <w:rFonts w:ascii="Cambria Math" w:hAnsi="Cambria Math"/>
                            <w:sz w:val="22"/>
                            <w:szCs w:val="22"/>
                          </w:rPr>
                          <m:t>+</m:t>
                        </m:r>
                      </m:sub>
                    </m:sSub>
                  </m:e>
                </m:groupChr>
              </m:e>
            </m:mr>
            <m:mr>
              <m:e>
                <m:groupChr>
                  <m:groupChrPr>
                    <m:chr m:val="←"/>
                    <m:pos m:val="top"/>
                    <m:ctrlPr>
                      <w:rPr>
                        <w:rFonts w:ascii="Cambria Math" w:hAnsi="Cambria Math"/>
                        <w:sz w:val="22"/>
                        <w:szCs w:val="22"/>
                      </w:rPr>
                    </m:ctrlPr>
                  </m:groupChrPr>
                  <m:e>
                    <m:sSub>
                      <m:sSubPr>
                        <m:ctrlPr>
                          <w:rPr>
                            <w:rFonts w:ascii="Cambria Math" w:hAnsi="Cambria Math"/>
                            <w:sz w:val="22"/>
                            <w:szCs w:val="22"/>
                          </w:rPr>
                        </m:ctrlPr>
                      </m:sSubPr>
                      <m:e>
                        <m:r>
                          <m:rPr>
                            <m:sty m:val="p"/>
                          </m:rPr>
                          <w:rPr>
                            <w:rFonts w:ascii="Cambria Math" w:hAnsi="Cambria Math"/>
                            <w:sz w:val="22"/>
                            <w:szCs w:val="22"/>
                          </w:rPr>
                          <m:t>2</m:t>
                        </m:r>
                        <m:r>
                          <w:rPr>
                            <w:rFonts w:ascii="Cambria Math" w:hAnsi="Cambria Math"/>
                            <w:sz w:val="22"/>
                            <w:szCs w:val="22"/>
                          </w:rPr>
                          <m:t>k</m:t>
                        </m:r>
                      </m:e>
                      <m:sub>
                        <m:r>
                          <m:rPr>
                            <m:sty m:val="p"/>
                          </m:rPr>
                          <w:rPr>
                            <w:rFonts w:ascii="Cambria Math" w:hAnsi="Cambria Math"/>
                            <w:sz w:val="22"/>
                            <w:szCs w:val="22"/>
                          </w:rPr>
                          <m:t>-</m:t>
                        </m:r>
                      </m:sub>
                    </m:sSub>
                  </m:e>
                </m:groupChr>
              </m:e>
            </m:mr>
          </m:m>
          <m:r>
            <w:rPr>
              <w:rFonts w:ascii="Cambria Math" w:hAnsi="Cambria Math"/>
              <w:sz w:val="22"/>
              <w:szCs w:val="22"/>
            </w:rPr>
            <m:t>O</m:t>
          </m:r>
        </m:oMath>
      </m:oMathPara>
    </w:p>
    <w:p w14:paraId="5FE8D4C1" w14:textId="77777777" w:rsidR="0096640C" w:rsidRPr="00CC3DB5" w:rsidRDefault="0096640C" w:rsidP="00FA0D61">
      <w:pPr>
        <w:pStyle w:val="NormalWeb"/>
        <w:spacing w:before="0" w:beforeAutospacing="0" w:after="0" w:afterAutospacing="0" w:line="480" w:lineRule="auto"/>
        <w:jc w:val="both"/>
        <w:rPr>
          <w:sz w:val="22"/>
          <w:szCs w:val="22"/>
        </w:rPr>
      </w:pPr>
      <w:r w:rsidRPr="00CC3DB5">
        <w:rPr>
          <w:sz w:val="22"/>
          <w:szCs w:val="22"/>
        </w:rPr>
        <w:t>with opening and closing rates in ms</w:t>
      </w:r>
      <w:r w:rsidRPr="00CC3DB5">
        <w:rPr>
          <w:sz w:val="22"/>
          <w:szCs w:val="22"/>
          <w:vertAlign w:val="superscript"/>
        </w:rPr>
        <w:t>-1</w:t>
      </w:r>
      <w:r w:rsidRPr="00CC3DB5">
        <w:rPr>
          <w:sz w:val="22"/>
          <w:szCs w:val="22"/>
        </w:rPr>
        <w:t>:</w:t>
      </w:r>
    </w:p>
    <w:p w14:paraId="0236CE74" w14:textId="77777777" w:rsidR="0096640C" w:rsidRPr="00CC3DB5" w:rsidRDefault="00040DCF" w:rsidP="00FA0D61">
      <w:pPr>
        <w:pStyle w:val="NormalWeb"/>
        <w:spacing w:before="0" w:beforeAutospacing="0" w:after="0" w:afterAutospacing="0" w:line="480" w:lineRule="auto"/>
        <w:jc w:val="both"/>
        <w:rPr>
          <w:sz w:val="22"/>
          <w:szCs w:val="22"/>
        </w:rPr>
      </w:pP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m:t>
            </m:r>
          </m:sub>
        </m:sSub>
        <m: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exp</m:t>
            </m:r>
            <m:d>
              <m:dPr>
                <m:ctrlPr>
                  <w:rPr>
                    <w:rFonts w:ascii="Cambria Math" w:hAnsi="Cambria Math"/>
                    <w:i/>
                    <w:sz w:val="22"/>
                    <w:szCs w:val="22"/>
                  </w:rPr>
                </m:ctrlPr>
              </m:dPr>
              <m:e>
                <m:r>
                  <w:rPr>
                    <w:rFonts w:ascii="Cambria Math" w:hAnsi="Cambria Math"/>
                    <w:sz w:val="22"/>
                    <w:szCs w:val="22"/>
                  </w:rPr>
                  <m:t>-b⋅V</m:t>
                </m:r>
              </m:e>
            </m:d>
          </m:num>
          <m:den>
            <m:r>
              <m:rPr>
                <m:sty m:val="p"/>
              </m:rPr>
              <w:rPr>
                <w:rFonts w:ascii="Cambria Math" w:hAnsi="Cambria Math"/>
                <w:sz w:val="22"/>
                <w:szCs w:val="22"/>
              </w:rPr>
              <m:t>a</m:t>
            </m:r>
          </m:den>
        </m:f>
        <m:rad>
          <m:radPr>
            <m:degHide m:val="1"/>
            <m:ctrlPr>
              <w:rPr>
                <w:rFonts w:ascii="Cambria Math" w:hAnsi="Cambria Math"/>
                <w:i/>
                <w:sz w:val="22"/>
                <w:szCs w:val="22"/>
              </w:rPr>
            </m:ctrlPr>
          </m:radPr>
          <m:deg/>
          <m:e>
            <m:sSub>
              <m:sSubPr>
                <m:ctrlPr>
                  <w:rPr>
                    <w:rFonts w:ascii="Cambria Math" w:hAnsi="Cambria Math"/>
                    <w:i/>
                    <w:sz w:val="22"/>
                    <w:szCs w:val="22"/>
                  </w:rPr>
                </m:ctrlPr>
              </m:sSubPr>
              <m:e>
                <m:r>
                  <w:rPr>
                    <w:rFonts w:ascii="Cambria Math" w:hAnsi="Cambria Math"/>
                    <w:sz w:val="22"/>
                    <w:szCs w:val="22"/>
                  </w:rPr>
                  <m:t>p</m:t>
                </m:r>
              </m:e>
              <m:sub>
                <m:r>
                  <w:rPr>
                    <w:rFonts w:ascii="Cambria Math" w:hAnsi="Cambria Math"/>
                    <w:sz w:val="22"/>
                    <w:szCs w:val="22"/>
                  </w:rPr>
                  <m:t>max</m:t>
                </m:r>
              </m:sub>
            </m:sSub>
            <m:r>
              <m:rPr>
                <m:lit/>
              </m:rPr>
              <w:rPr>
                <w:rFonts w:ascii="Cambria Math" w:hAnsi="Cambria Math"/>
                <w:sz w:val="22"/>
                <w:szCs w:val="22"/>
              </w:rPr>
              <m:t>/</m:t>
            </m:r>
            <m:d>
              <m:dPr>
                <m:ctrlPr>
                  <w:rPr>
                    <w:rFonts w:ascii="Cambria Math" w:hAnsi="Cambria Math"/>
                    <w:i/>
                    <w:sz w:val="22"/>
                    <w:szCs w:val="22"/>
                  </w:rPr>
                </m:ctrlPr>
              </m:dPr>
              <m:e>
                <m:r>
                  <w:rPr>
                    <w:rFonts w:ascii="Cambria Math" w:hAnsi="Cambria Math"/>
                    <w:sz w:val="22"/>
                    <w:szCs w:val="22"/>
                  </w:rPr>
                  <m:t>1+exp</m:t>
                </m:r>
                <m:d>
                  <m:dPr>
                    <m:ctrlPr>
                      <w:rPr>
                        <w:rFonts w:ascii="Cambria Math" w:hAnsi="Cambria Math"/>
                        <w:i/>
                        <w:sz w:val="22"/>
                        <w:szCs w:val="22"/>
                      </w:rPr>
                    </m:ctrlPr>
                  </m:dPr>
                  <m:e>
                    <m:d>
                      <m:dPr>
                        <m:ctrlPr>
                          <w:rPr>
                            <w:rFonts w:ascii="Cambria Math" w:hAnsi="Cambria Math"/>
                            <w:i/>
                            <w:sz w:val="22"/>
                            <w:szCs w:val="22"/>
                          </w:rPr>
                        </m:ctrlPr>
                      </m:dPr>
                      <m:e>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1</m:t>
                            </m:r>
                            <m:r>
                              <m:rPr>
                                <m:lit/>
                              </m:rPr>
                              <w:rPr>
                                <w:rFonts w:ascii="Cambria Math" w:hAnsi="Cambria Math"/>
                                <w:sz w:val="22"/>
                                <w:szCs w:val="22"/>
                              </w:rPr>
                              <m:t>/</m:t>
                            </m:r>
                            <m:r>
                              <w:rPr>
                                <w:rFonts w:ascii="Cambria Math" w:hAnsi="Cambria Math"/>
                                <w:sz w:val="22"/>
                                <w:szCs w:val="22"/>
                              </w:rPr>
                              <m:t>2</m:t>
                            </m:r>
                          </m:sub>
                        </m:sSub>
                        <m:r>
                          <w:rPr>
                            <w:rFonts w:ascii="Cambria Math" w:hAnsi="Cambria Math"/>
                            <w:sz w:val="22"/>
                            <w:szCs w:val="22"/>
                          </w:rPr>
                          <m:t>-V</m:t>
                        </m:r>
                      </m:e>
                    </m:d>
                    <m:r>
                      <w:rPr>
                        <w:rFonts w:ascii="Cambria Math" w:hAnsi="Cambria Math"/>
                        <w:sz w:val="22"/>
                        <w:szCs w:val="22"/>
                      </w:rPr>
                      <m:t>/w</m:t>
                    </m:r>
                  </m:e>
                </m:d>
              </m:e>
            </m:d>
          </m:e>
        </m:rad>
      </m:oMath>
      <w:r w:rsidR="0096640C" w:rsidRPr="00CC3DB5">
        <w:rPr>
          <w:sz w:val="22"/>
          <w:szCs w:val="22"/>
        </w:rPr>
        <w:t xml:space="preserve">  ;  </w:t>
      </w:r>
      <m:oMath>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m:t>
            </m:r>
          </m:sub>
        </m:sSub>
        <m:r>
          <w:rPr>
            <w:rFonts w:ascii="Cambria Math" w:hAnsi="Cambria Math"/>
            <w:sz w:val="22"/>
            <w:szCs w:val="22"/>
          </w:rPr>
          <m:t>=</m:t>
        </m:r>
        <m:f>
          <m:fPr>
            <m:ctrlPr>
              <w:rPr>
                <w:rFonts w:ascii="Cambria Math" w:hAnsi="Cambria Math"/>
                <w:sz w:val="22"/>
                <w:szCs w:val="22"/>
              </w:rPr>
            </m:ctrlPr>
          </m:fPr>
          <m:num>
            <m:r>
              <m:rPr>
                <m:sty m:val="p"/>
              </m:rPr>
              <w:rPr>
                <w:rFonts w:ascii="Cambria Math" w:hAnsi="Cambria Math"/>
                <w:sz w:val="22"/>
                <w:szCs w:val="22"/>
              </w:rPr>
              <m:t>exp</m:t>
            </m:r>
            <m:d>
              <m:dPr>
                <m:ctrlPr>
                  <w:rPr>
                    <w:rFonts w:ascii="Cambria Math" w:hAnsi="Cambria Math"/>
                    <w:i/>
                    <w:sz w:val="22"/>
                    <w:szCs w:val="22"/>
                  </w:rPr>
                </m:ctrlPr>
              </m:dPr>
              <m:e>
                <m:r>
                  <w:rPr>
                    <w:rFonts w:ascii="Cambria Math" w:hAnsi="Cambria Math"/>
                    <w:sz w:val="22"/>
                    <w:szCs w:val="22"/>
                  </w:rPr>
                  <m:t>-b⋅V</m:t>
                </m:r>
              </m:e>
            </m:d>
          </m:num>
          <m:den>
            <m:r>
              <m:rPr>
                <m:sty m:val="p"/>
              </m:rPr>
              <w:rPr>
                <w:rFonts w:ascii="Cambria Math" w:hAnsi="Cambria Math"/>
                <w:sz w:val="22"/>
                <w:szCs w:val="22"/>
              </w:rPr>
              <m:t>a</m:t>
            </m:r>
          </m:den>
        </m:f>
        <m:r>
          <w:rPr>
            <w:rFonts w:ascii="Cambria Math" w:hAnsi="Cambria Math"/>
            <w:sz w:val="22"/>
            <w:szCs w:val="22"/>
          </w:rPr>
          <m:t>-</m:t>
        </m:r>
        <m:sSub>
          <m:sSubPr>
            <m:ctrlPr>
              <w:rPr>
                <w:rFonts w:ascii="Cambria Math" w:hAnsi="Cambria Math"/>
                <w:i/>
                <w:sz w:val="22"/>
                <w:szCs w:val="22"/>
              </w:rPr>
            </m:ctrlPr>
          </m:sSubPr>
          <m:e>
            <m:r>
              <w:rPr>
                <w:rFonts w:ascii="Cambria Math" w:hAnsi="Cambria Math"/>
                <w:sz w:val="22"/>
                <w:szCs w:val="22"/>
              </w:rPr>
              <m:t>k</m:t>
            </m:r>
          </m:e>
          <m:sub>
            <m:r>
              <w:rPr>
                <w:rFonts w:ascii="Cambria Math" w:hAnsi="Cambria Math"/>
                <w:sz w:val="22"/>
                <w:szCs w:val="22"/>
              </w:rPr>
              <m:t>+</m:t>
            </m:r>
          </m:sub>
        </m:sSub>
      </m:oMath>
    </w:p>
    <w:p w14:paraId="5904B086" w14:textId="52527897" w:rsidR="0096640C" w:rsidRPr="00CC3DB5" w:rsidRDefault="0096640C" w:rsidP="0057493F">
      <w:pPr>
        <w:pStyle w:val="NormalWeb"/>
        <w:spacing w:before="0" w:beforeAutospacing="0" w:after="0" w:afterAutospacing="0" w:line="480" w:lineRule="auto"/>
        <w:jc w:val="both"/>
        <w:rPr>
          <w:sz w:val="22"/>
          <w:szCs w:val="22"/>
        </w:rPr>
      </w:pPr>
      <w:r w:rsidRPr="00CC3DB5">
        <w:rPr>
          <w:sz w:val="22"/>
          <w:szCs w:val="22"/>
        </w:rPr>
        <w:t xml:space="preserve">with </w:t>
      </w:r>
      <m:oMath>
        <m:r>
          <w:rPr>
            <w:rFonts w:ascii="Cambria Math" w:hAnsi="Cambria Math"/>
            <w:sz w:val="22"/>
            <w:szCs w:val="22"/>
          </w:rPr>
          <m:t>a=0.2565</m:t>
        </m:r>
        <m:r>
          <m:rPr>
            <m:lit/>
          </m:rPr>
          <w:rPr>
            <w:rFonts w:ascii="Cambria Math" w:hAnsi="Cambria Math"/>
            <w:sz w:val="22"/>
            <w:szCs w:val="22"/>
          </w:rPr>
          <m:t>/</m:t>
        </m:r>
        <m:sSup>
          <m:sSupPr>
            <m:ctrlPr>
              <w:rPr>
                <w:rFonts w:ascii="Cambria Math" w:hAnsi="Cambria Math"/>
                <w:i/>
                <w:sz w:val="22"/>
                <w:szCs w:val="22"/>
              </w:rPr>
            </m:ctrlPr>
          </m:sSupPr>
          <m:e>
            <m:r>
              <w:rPr>
                <w:rFonts w:ascii="Cambria Math" w:hAnsi="Cambria Math"/>
                <w:sz w:val="22"/>
                <w:szCs w:val="22"/>
              </w:rPr>
              <m:t>3</m:t>
            </m:r>
          </m:e>
          <m:sup>
            <m:r>
              <w:rPr>
                <w:rFonts w:ascii="Cambria Math" w:hAnsi="Cambria Math"/>
                <w:sz w:val="22"/>
                <w:szCs w:val="22"/>
              </w:rPr>
              <m:t>(T-23°C)</m:t>
            </m:r>
            <m:r>
              <m:rPr>
                <m:lit/>
              </m:rPr>
              <w:rPr>
                <w:rFonts w:ascii="Cambria Math" w:hAnsi="Cambria Math"/>
                <w:sz w:val="22"/>
                <w:szCs w:val="22"/>
              </w:rPr>
              <m:t>/</m:t>
            </m:r>
            <m:r>
              <w:rPr>
                <w:rFonts w:ascii="Cambria Math" w:hAnsi="Cambria Math"/>
                <w:sz w:val="22"/>
                <w:szCs w:val="22"/>
              </w:rPr>
              <m:t>10K</m:t>
            </m:r>
          </m:sup>
        </m:sSup>
        <m:r>
          <w:rPr>
            <w:rFonts w:ascii="Cambria Math" w:hAnsi="Cambria Math"/>
            <w:sz w:val="22"/>
            <w:szCs w:val="22"/>
          </w:rPr>
          <m:t xml:space="preserve"> ms</m:t>
        </m:r>
      </m:oMath>
      <w:r w:rsidRPr="00CC3DB5">
        <w:rPr>
          <w:sz w:val="22"/>
          <w:szCs w:val="22"/>
        </w:rPr>
        <w:t xml:space="preserve">; </w:t>
      </w:r>
      <m:oMath>
        <m:r>
          <w:rPr>
            <w:rFonts w:ascii="Cambria Math" w:hAnsi="Cambria Math"/>
            <w:sz w:val="22"/>
            <w:szCs w:val="22"/>
          </w:rPr>
          <m:t>b= -0.0295 m</m:t>
        </m:r>
        <m:sSup>
          <m:sSupPr>
            <m:ctrlPr>
              <w:rPr>
                <w:rFonts w:ascii="Cambria Math" w:hAnsi="Cambria Math"/>
                <w:i/>
                <w:sz w:val="22"/>
                <w:szCs w:val="22"/>
              </w:rPr>
            </m:ctrlPr>
          </m:sSupPr>
          <m:e>
            <m:r>
              <w:rPr>
                <w:rFonts w:ascii="Cambria Math" w:hAnsi="Cambria Math"/>
                <w:sz w:val="22"/>
                <w:szCs w:val="22"/>
              </w:rPr>
              <m:t>V</m:t>
            </m:r>
          </m:e>
          <m:sup>
            <m:r>
              <w:rPr>
                <w:rFonts w:ascii="Cambria Math" w:hAnsi="Cambria Math"/>
                <w:sz w:val="22"/>
                <w:szCs w:val="22"/>
              </w:rPr>
              <m:t>-1</m:t>
            </m:r>
          </m:sup>
        </m:sSup>
      </m:oMath>
      <w:r w:rsidRPr="00CC3DB5">
        <w:rPr>
          <w:sz w:val="22"/>
          <w:szCs w:val="22"/>
        </w:rPr>
        <w:t xml:space="preserve">; </w:t>
      </w:r>
      <m:oMath>
        <m:sSub>
          <m:sSubPr>
            <m:ctrlPr>
              <w:rPr>
                <w:rFonts w:ascii="Cambria Math" w:hAnsi="Cambria Math"/>
                <w:i/>
                <w:sz w:val="22"/>
                <w:szCs w:val="22"/>
              </w:rPr>
            </m:ctrlPr>
          </m:sSubPr>
          <m:e>
            <m:r>
              <w:rPr>
                <w:rFonts w:ascii="Cambria Math" w:hAnsi="Cambria Math"/>
                <w:sz w:val="22"/>
                <w:szCs w:val="22"/>
              </w:rPr>
              <m:t>p</m:t>
            </m:r>
          </m:e>
          <m:sub>
            <m:r>
              <w:rPr>
                <w:rFonts w:ascii="Cambria Math" w:hAnsi="Cambria Math"/>
                <w:sz w:val="22"/>
                <w:szCs w:val="22"/>
              </w:rPr>
              <m:t>max</m:t>
            </m:r>
          </m:sub>
        </m:sSub>
        <m:r>
          <w:rPr>
            <w:rFonts w:ascii="Cambria Math" w:hAnsi="Cambria Math"/>
            <w:sz w:val="22"/>
            <w:szCs w:val="22"/>
          </w:rPr>
          <m:t>=0.4</m:t>
        </m:r>
      </m:oMath>
      <w:r w:rsidRPr="00CC3DB5">
        <w:rPr>
          <w:sz w:val="22"/>
          <w:szCs w:val="22"/>
        </w:rPr>
        <w:t xml:space="preserve">; </w:t>
      </w:r>
      <m:oMath>
        <m:sSub>
          <m:sSubPr>
            <m:ctrlPr>
              <w:rPr>
                <w:rFonts w:ascii="Cambria Math" w:hAnsi="Cambria Math"/>
                <w:i/>
                <w:sz w:val="22"/>
                <w:szCs w:val="22"/>
              </w:rPr>
            </m:ctrlPr>
          </m:sSubPr>
          <m:e>
            <m:r>
              <w:rPr>
                <w:rFonts w:ascii="Cambria Math" w:hAnsi="Cambria Math"/>
                <w:sz w:val="22"/>
                <w:szCs w:val="22"/>
              </w:rPr>
              <m:t>V</m:t>
            </m:r>
          </m:e>
          <m:sub>
            <m:r>
              <w:rPr>
                <w:rFonts w:ascii="Cambria Math" w:hAnsi="Cambria Math"/>
                <w:sz w:val="22"/>
                <w:szCs w:val="22"/>
              </w:rPr>
              <m:t>1</m:t>
            </m:r>
            <m:r>
              <m:rPr>
                <m:lit/>
              </m:rPr>
              <w:rPr>
                <w:rFonts w:ascii="Cambria Math" w:hAnsi="Cambria Math"/>
                <w:sz w:val="22"/>
                <w:szCs w:val="22"/>
              </w:rPr>
              <m:t>/</m:t>
            </m:r>
            <m:r>
              <w:rPr>
                <w:rFonts w:ascii="Cambria Math" w:hAnsi="Cambria Math"/>
                <w:sz w:val="22"/>
                <w:szCs w:val="22"/>
              </w:rPr>
              <m:t>2</m:t>
            </m:r>
          </m:sub>
        </m:sSub>
        <m:r>
          <w:rPr>
            <w:rFonts w:ascii="Cambria Math" w:hAnsi="Cambria Math"/>
            <w:sz w:val="22"/>
            <w:szCs w:val="22"/>
          </w:rPr>
          <m:t>=-36.2 mV</m:t>
        </m:r>
      </m:oMath>
      <w:r w:rsidRPr="00CC3DB5">
        <w:rPr>
          <w:sz w:val="22"/>
          <w:szCs w:val="22"/>
        </w:rPr>
        <w:t xml:space="preserve"> ; </w:t>
      </w:r>
      <m:oMath>
        <m:r>
          <w:rPr>
            <w:rFonts w:ascii="Cambria Math" w:hAnsi="Cambria Math"/>
            <w:sz w:val="22"/>
            <w:szCs w:val="22"/>
          </w:rPr>
          <m:t>w=6.8 mV</m:t>
        </m:r>
      </m:oMath>
      <w:r w:rsidRPr="00CC3DB5">
        <w:rPr>
          <w:sz w:val="22"/>
          <w:szCs w:val="22"/>
        </w:rPr>
        <w:t xml:space="preserve">; </w:t>
      </w:r>
      <m:oMath>
        <m:r>
          <w:rPr>
            <w:rFonts w:ascii="Cambria Math" w:hAnsi="Cambria Math"/>
            <w:sz w:val="22"/>
            <w:szCs w:val="22"/>
          </w:rPr>
          <m:t>T=37°C</m:t>
        </m:r>
      </m:oMath>
      <w:r w:rsidRPr="00CC3DB5">
        <w:rPr>
          <w:sz w:val="22"/>
          <w:szCs w:val="22"/>
        </w:rPr>
        <w:t xml:space="preserve">. Rates and open probability are visualized in </w:t>
      </w:r>
      <w:r w:rsidR="00333430" w:rsidRPr="00CC3DB5">
        <w:rPr>
          <w:sz w:val="22"/>
          <w:szCs w:val="22"/>
        </w:rPr>
        <w:t>Fig</w:t>
      </w:r>
      <w:r w:rsidRPr="00CC3DB5">
        <w:rPr>
          <w:sz w:val="22"/>
          <w:szCs w:val="22"/>
        </w:rPr>
        <w:t xml:space="preserve">. </w:t>
      </w:r>
      <w:r w:rsidR="00217F2F" w:rsidRPr="00CC3DB5">
        <w:rPr>
          <w:sz w:val="22"/>
          <w:szCs w:val="22"/>
        </w:rPr>
        <w:t>S</w:t>
      </w:r>
      <w:r w:rsidR="00333430" w:rsidRPr="00CC3DB5">
        <w:rPr>
          <w:sz w:val="22"/>
          <w:szCs w:val="22"/>
        </w:rPr>
        <w:t>11</w:t>
      </w:r>
      <w:r w:rsidR="00217F2F" w:rsidRPr="00CC3DB5">
        <w:rPr>
          <w:sz w:val="22"/>
          <w:szCs w:val="22"/>
        </w:rPr>
        <w:t>b</w:t>
      </w:r>
      <w:r w:rsidR="0057493F" w:rsidRPr="00CC3DB5">
        <w:rPr>
          <w:sz w:val="22"/>
          <w:szCs w:val="22"/>
        </w:rPr>
        <w:t>).</w:t>
      </w:r>
    </w:p>
    <w:p w14:paraId="04467801" w14:textId="77777777" w:rsidR="00F57A06" w:rsidRPr="00CC3DB5" w:rsidRDefault="00F57A06" w:rsidP="00FA0D61">
      <w:pPr>
        <w:pStyle w:val="NormalWeb"/>
        <w:spacing w:before="0" w:beforeAutospacing="0" w:after="0" w:afterAutospacing="0" w:line="480" w:lineRule="auto"/>
        <w:jc w:val="both"/>
        <w:outlineLvl w:val="0"/>
        <w:rPr>
          <w:b/>
          <w:sz w:val="22"/>
          <w:szCs w:val="22"/>
        </w:rPr>
      </w:pPr>
    </w:p>
    <w:p w14:paraId="765BB5AB" w14:textId="77777777" w:rsidR="00196D9E" w:rsidRPr="00CC3DB5" w:rsidRDefault="00196D9E">
      <w:pPr>
        <w:spacing w:line="240" w:lineRule="auto"/>
        <w:rPr>
          <w:rFonts w:eastAsiaTheme="minorEastAsia"/>
          <w:b/>
          <w:sz w:val="22"/>
          <w:szCs w:val="22"/>
          <w:lang w:eastAsia="en-GB"/>
        </w:rPr>
      </w:pPr>
      <w:r w:rsidRPr="00CC3DB5">
        <w:rPr>
          <w:b/>
          <w:sz w:val="22"/>
          <w:szCs w:val="22"/>
        </w:rPr>
        <w:br w:type="page"/>
      </w:r>
    </w:p>
    <w:p w14:paraId="23F4F154" w14:textId="19A55287" w:rsidR="0096640C" w:rsidRPr="00CC3DB5" w:rsidRDefault="0096640C" w:rsidP="00FA0D61">
      <w:pPr>
        <w:pStyle w:val="NormalWeb"/>
        <w:spacing w:before="0" w:beforeAutospacing="0" w:after="0" w:afterAutospacing="0" w:line="480" w:lineRule="auto"/>
        <w:jc w:val="both"/>
        <w:outlineLvl w:val="0"/>
        <w:rPr>
          <w:b/>
          <w:sz w:val="22"/>
          <w:szCs w:val="22"/>
        </w:rPr>
      </w:pPr>
      <w:r w:rsidRPr="00CC3DB5">
        <w:rPr>
          <w:b/>
          <w:sz w:val="22"/>
          <w:szCs w:val="22"/>
        </w:rPr>
        <w:lastRenderedPageBreak/>
        <w:t>Stimulus-secretion coupling</w:t>
      </w:r>
    </w:p>
    <w:p w14:paraId="351E137A" w14:textId="7FD31E47" w:rsidR="0057493F" w:rsidRPr="00CC3DB5" w:rsidRDefault="0096640C" w:rsidP="0057493F">
      <w:pPr>
        <w:pStyle w:val="NormalWeb"/>
        <w:spacing w:after="0" w:line="480" w:lineRule="auto"/>
        <w:jc w:val="both"/>
        <w:rPr>
          <w:sz w:val="22"/>
          <w:szCs w:val="22"/>
        </w:rPr>
      </w:pPr>
      <w:r w:rsidRPr="00CC3DB5">
        <w:rPr>
          <w:sz w:val="22"/>
          <w:szCs w:val="22"/>
        </w:rPr>
        <w:t>Ca</w:t>
      </w:r>
      <w:r w:rsidRPr="00CC3DB5">
        <w:rPr>
          <w:sz w:val="22"/>
          <w:szCs w:val="22"/>
          <w:vertAlign w:val="superscript"/>
        </w:rPr>
        <w:t>2+</w:t>
      </w:r>
      <w:r w:rsidRPr="00CC3DB5">
        <w:rPr>
          <w:sz w:val="22"/>
          <w:szCs w:val="22"/>
        </w:rPr>
        <w:t xml:space="preserve"> enters through open Ca</w:t>
      </w:r>
      <w:r w:rsidRPr="00CC3DB5">
        <w:rPr>
          <w:sz w:val="22"/>
          <w:szCs w:val="22"/>
          <w:vertAlign w:val="superscript"/>
        </w:rPr>
        <w:t>2+</w:t>
      </w:r>
      <w:r w:rsidR="001016E9">
        <w:rPr>
          <w:sz w:val="22"/>
          <w:szCs w:val="22"/>
        </w:rPr>
        <w:t xml:space="preserve"> </w:t>
      </w:r>
      <w:r w:rsidRPr="00CC3DB5">
        <w:rPr>
          <w:sz w:val="22"/>
          <w:szCs w:val="22"/>
        </w:rPr>
        <w:t xml:space="preserve">channels and binds to the fusion machinery of a nearby release-competent synaptic vesicle (SV), triggering its fusion. In </w:t>
      </w:r>
      <w:r w:rsidR="000D786D" w:rsidRPr="00CC3DB5">
        <w:rPr>
          <w:sz w:val="22"/>
          <w:szCs w:val="22"/>
        </w:rPr>
        <w:t xml:space="preserve">mature </w:t>
      </w:r>
      <w:r w:rsidRPr="00CC3DB5">
        <w:rPr>
          <w:sz w:val="22"/>
          <w:szCs w:val="22"/>
        </w:rPr>
        <w:t>IHCs, this stimulus-secretion coupling operates mostly in the Ca</w:t>
      </w:r>
      <w:r w:rsidRPr="00CC3DB5">
        <w:rPr>
          <w:sz w:val="22"/>
          <w:szCs w:val="22"/>
          <w:vertAlign w:val="superscript"/>
        </w:rPr>
        <w:t>2+</w:t>
      </w:r>
      <w:r w:rsidRPr="00CC3DB5">
        <w:rPr>
          <w:sz w:val="22"/>
          <w:szCs w:val="22"/>
        </w:rPr>
        <w:t xml:space="preserve"> nanodomain-like regime </w:t>
      </w:r>
      <w:r w:rsidRPr="00CC3DB5">
        <w:rPr>
          <w:sz w:val="22"/>
          <w:szCs w:val="22"/>
        </w:rPr>
        <w:fldChar w:fldCharType="begin"/>
      </w:r>
      <w:r w:rsidR="00ED72E6" w:rsidRPr="00CC3DB5">
        <w:rPr>
          <w:sz w:val="22"/>
          <w:szCs w:val="22"/>
        </w:rPr>
        <w:instrText xml:space="preserve"> ADDIN ZOTERO_ITEM CSL_CITATION {"citationID":"9JB3lfU5","properties":{"formattedCitation":"({\\i{}19}, {\\i{}22}, {\\i{}23})","plainCitation":"(19, 22, 23)","noteIndex":0},"citationItems":[{"id":12362,"uris":["http://zotero.org/users/598743/items/SUMGNUEM"],"uri":["http://zotero.org/users/598743/items/SUMGNUEM"],"itemData":{"id":12362,"type":"article-journal","abstract":"Cochlear inner hair cells (IHCs) develop from pre-sensory pacemaker to sound transducer. Here, we report that this involves changes in structure and function of the ribbon synapses between IHCs and spiral ganglion neurons (SGNs) around hearing onset in mice. As synapses matured they changed from holding several small presynaptic active zones (AZs) and apposed postsynaptic densities (PSDs) to one large AZ/PSD complex per SGN bouton. After the onset of hearing (i) IHCs had fewer and larger ribbons; (ii) CaV1.3 channels formed stripe-like clusters rather than the smaller and round clusters at immature AZs; (iii) extrasynaptic CaV1.3-channels were selectively reduced, (iv) the intrinsic Ca2+ dependence of fast exocytosis probed by Ca2+ uncaging remained unchanged but (v) the apparent Ca2+ dependence of exocytosis linearized, when assessed by progressive dihydropyridine block of Ca2+ influx. Biophysical modeling of exocytosis at mature and immature AZ topographies suggests that Ca2+ influx through an individual channel dominates the [Ca2+] driving exocytosis at each mature release site. We conclude that IHC synapses undergo major developmental refinements, resulting in tighter spatial coupling between Ca2+ influx and exocytosis.","container-title":"The EMBO Journal","DOI":"10.1002/embj.201387110","ISSN":"0261-4189","issue":"3","journalAbbreviation":"EMBO J","language":"en","note":"PMID: 24442635\nPMCID: PMC3989618","page":"247-264","source":"PubMed Central","title":"Developmental refinement of hair cell synapses tightens the coupling of Ca2+ influx to exocytosis","volume":"33","author":[{"family":"Wong","given":"Aaron B"},{"family":"Rutherford","given":"Mark A"},{"family":"Gabrielaitis","given":"Mantas"},{"family":"Pangršič","given":"Tina"},{"family":"Göttfert","given":"Fabian"},{"family":"Frank","given":"Thomas"},{"family":"Michanski","given":"Susann"},{"family":"Hell","given":"Stefan"},{"family":"Wolf","given":"Fred"},{"family":"Wichmann","given":"Carolin"},{"family":"Moser","given":"Tobias"}],"issued":{"date-parts":[["2014",2,3]]}}},{"id":304,"uris":["http://zotero.org/users/598743/items/QNP3SADV"],"uri":["http://zotero.org/users/598743/items/QNP3SADV"],"itemData":{"id":304,"type":"article-journal","container-title":"The Journal of Neuroscience","ISSN":"0270-6474","issue":"50","journalAbbreviation":"J Neurosci","note":"00135","page":"11577","source":"Google Scholar","title":"Few CaV1. 3 channels regulate the exocytosis of a synaptic vesicle at the hair cell ribbon synapse","volume":"25","author":[{"family":"Brandt","given":"A."},{"family":"Khimich","given":"D."},{"family":"Moser","given":"T."}],"issued":{"date-parts":[["2005"]]}}},{"id":9343,"uris":["http://zotero.org/users/598743/items/BKXPBCA8"],"uri":["http://zotero.org/users/598743/items/BKXPBCA8"],"itemData":{"id":9343,"type":"article-journal","abstract":"EF-hand Ca2+-binding proteins are thought to shape the spatiotemporal properties of cellular Ca2+ signaling and are prominently expressed in sensory hair cells in the ear. Here, we combined genetic disruption of parvalbumin-α, calbindin-D28k, and calretinin in mice with patch-clamp recording, in vivo physiology, and mathematical modeling to study their role in Ca2+ signaling, exocytosis, and sound encoding at the synapses of inner hair cells (IHCs). IHCs lacking all three proteins showed excessive exocytosis during prolonged depolarizations, despite enhanced Ca2+-dependent inactivation of their Ca2+ current. Exocytosis of readily releasable vesicles remained unchanged, in accordance with the estimated tight spatial coupling of Ca2+ channels and release sites (effective “coupling distance” of 17 nm). Substitution experiments with synthetic Ca2+ chelators indicated the presence of endogenous Ca2+ buffers equivalent to 1 mM synthetic Ca2+-binding sites, approximately half of them with kinetics as fast as 1,2-Bis(2-aminophenoxy)ethane-N,N,N′,N′-tetraacetic acid (BAPTA). Synaptic sound encoding was largely unaltered, suggesting that excess exocytosis occurs extrasynaptically. We conclude that EF-hand Ca2+ buffers regulate presynaptic IHC function for metabolically efficient sound coding.","container-title":"Proceedings of the National Academy of Sciences","DOI":"10.1073/pnas.1416424112","ISSN":"0027-8424, 1091-6490","issue":"9","journalAbbreviation":"PNAS","language":"en","note":"PMID: 25691754","page":"E1028-E1037","source":"www.pnas.org","title":"EF-hand protein Ca2+ buffers regulate Ca2+ influx and exocytosis in sensory hair cells","volume":"112","author":[{"family":"Pangršič","given":"Tina"},{"family":"Gabrielaitis","given":"Mantas"},{"family":"Michanski","given":"Susann"},{"family":"Schwaller","given":"Beat"},{"family":"Wolf","given":"Fred"},{"family":"Strenzke","given":"Nicola"},{"family":"Moser","given":"Tobias"}],"issued":{"date-parts":[["2015",3,3]]}}}],"schema":"https://github.com/citation-style-language/schema/raw/master/csl-citation.json"} </w:instrText>
      </w:r>
      <w:r w:rsidRPr="00CC3DB5">
        <w:rPr>
          <w:sz w:val="22"/>
          <w:szCs w:val="22"/>
        </w:rPr>
        <w:fldChar w:fldCharType="separate"/>
      </w:r>
      <w:r w:rsidR="00ED72E6" w:rsidRPr="00CC3DB5">
        <w:rPr>
          <w:rFonts w:eastAsia="Times New Roman"/>
          <w:sz w:val="22"/>
        </w:rPr>
        <w:t>(</w:t>
      </w:r>
      <w:r w:rsidR="00ED72E6" w:rsidRPr="00CC3DB5">
        <w:rPr>
          <w:rFonts w:eastAsia="Times New Roman"/>
          <w:i/>
          <w:iCs/>
          <w:sz w:val="22"/>
        </w:rPr>
        <w:t>19</w:t>
      </w:r>
      <w:r w:rsidR="00ED72E6" w:rsidRPr="00CC3DB5">
        <w:rPr>
          <w:rFonts w:eastAsia="Times New Roman"/>
          <w:sz w:val="22"/>
        </w:rPr>
        <w:t xml:space="preserve">, </w:t>
      </w:r>
      <w:r w:rsidR="00ED72E6" w:rsidRPr="00CC3DB5">
        <w:rPr>
          <w:rFonts w:eastAsia="Times New Roman"/>
          <w:i/>
          <w:iCs/>
          <w:sz w:val="22"/>
        </w:rPr>
        <w:t>22</w:t>
      </w:r>
      <w:r w:rsidR="00ED72E6" w:rsidRPr="00CC3DB5">
        <w:rPr>
          <w:rFonts w:eastAsia="Times New Roman"/>
          <w:sz w:val="22"/>
        </w:rPr>
        <w:t xml:space="preserve">, </w:t>
      </w:r>
      <w:r w:rsidR="00ED72E6" w:rsidRPr="00CC3DB5">
        <w:rPr>
          <w:rFonts w:eastAsia="Times New Roman"/>
          <w:i/>
          <w:iCs/>
          <w:sz w:val="22"/>
        </w:rPr>
        <w:t>23</w:t>
      </w:r>
      <w:r w:rsidR="00ED72E6" w:rsidRPr="00CC3DB5">
        <w:rPr>
          <w:rFonts w:eastAsia="Times New Roman"/>
          <w:sz w:val="22"/>
        </w:rPr>
        <w:t>)</w:t>
      </w:r>
      <w:r w:rsidRPr="00CC3DB5">
        <w:rPr>
          <w:sz w:val="22"/>
          <w:szCs w:val="22"/>
        </w:rPr>
        <w:fldChar w:fldCharType="end"/>
      </w:r>
      <w:r w:rsidRPr="00CC3DB5">
        <w:rPr>
          <w:sz w:val="22"/>
          <w:szCs w:val="22"/>
        </w:rPr>
        <w:t>, i.e. the opening of one or very few Ca</w:t>
      </w:r>
      <w:r w:rsidRPr="00CC3DB5">
        <w:rPr>
          <w:sz w:val="22"/>
          <w:szCs w:val="22"/>
          <w:vertAlign w:val="superscript"/>
        </w:rPr>
        <w:t>2+</w:t>
      </w:r>
      <w:r w:rsidR="001016E9">
        <w:rPr>
          <w:sz w:val="22"/>
          <w:szCs w:val="22"/>
        </w:rPr>
        <w:t xml:space="preserve"> </w:t>
      </w:r>
      <w:r w:rsidRPr="00CC3DB5">
        <w:rPr>
          <w:sz w:val="22"/>
          <w:szCs w:val="22"/>
        </w:rPr>
        <w:t>channels controls the fusion of a given vesicle. These processes are not explicitly modelled. Instead, we use the functional properties of Ca</w:t>
      </w:r>
      <w:r w:rsidRPr="00CC3DB5">
        <w:rPr>
          <w:sz w:val="22"/>
          <w:szCs w:val="22"/>
          <w:vertAlign w:val="superscript"/>
        </w:rPr>
        <w:t>2+</w:t>
      </w:r>
      <w:r w:rsidRPr="00CC3DB5">
        <w:rPr>
          <w:sz w:val="22"/>
          <w:szCs w:val="22"/>
        </w:rPr>
        <w:t xml:space="preserve"> nanodomain </w:t>
      </w:r>
      <w:proofErr w:type="spellStart"/>
      <w:r w:rsidRPr="00CC3DB5">
        <w:rPr>
          <w:sz w:val="22"/>
          <w:szCs w:val="22"/>
        </w:rPr>
        <w:t>signaling</w:t>
      </w:r>
      <w:proofErr w:type="spellEnd"/>
      <w:r w:rsidRPr="00CC3DB5">
        <w:rPr>
          <w:sz w:val="22"/>
          <w:szCs w:val="22"/>
        </w:rPr>
        <w:t xml:space="preserve"> and approximate the occurrence of release events with the occurrence of long Ca</w:t>
      </w:r>
      <w:r w:rsidRPr="00CC3DB5">
        <w:rPr>
          <w:sz w:val="22"/>
          <w:szCs w:val="22"/>
          <w:vertAlign w:val="superscript"/>
        </w:rPr>
        <w:t>2+</w:t>
      </w:r>
      <w:r w:rsidR="001016E9">
        <w:rPr>
          <w:sz w:val="22"/>
          <w:szCs w:val="22"/>
        </w:rPr>
        <w:t xml:space="preserve"> </w:t>
      </w:r>
      <w:r w:rsidR="00382735" w:rsidRPr="00CC3DB5">
        <w:rPr>
          <w:sz w:val="22"/>
          <w:szCs w:val="22"/>
        </w:rPr>
        <w:t xml:space="preserve">channel </w:t>
      </w:r>
      <w:r w:rsidRPr="00CC3DB5">
        <w:rPr>
          <w:sz w:val="22"/>
          <w:szCs w:val="22"/>
        </w:rPr>
        <w:t xml:space="preserve">openings. Channel open times beyond a certain cut-off time are considered effective to trigger fusion of the nearby vesicle. The exact duration of this cut-off had no influence on the outcome. This was established using cut-off values between 100 microseconds and 800 microseconds. For cut-offs beyond 800 microseconds the collection of a sufficient number of events was beyond the available processor time. The results below are derived with </w:t>
      </w:r>
      <w:r w:rsidR="0057493F" w:rsidRPr="00CC3DB5">
        <w:rPr>
          <w:sz w:val="22"/>
          <w:szCs w:val="22"/>
        </w:rPr>
        <w:t xml:space="preserve">a cut-off of 600 microseconds. </w:t>
      </w:r>
    </w:p>
    <w:p w14:paraId="16A446DC" w14:textId="2990DAB9" w:rsidR="0096640C" w:rsidRPr="00CC3DB5" w:rsidRDefault="0096640C" w:rsidP="0057493F">
      <w:pPr>
        <w:pStyle w:val="NormalWeb"/>
        <w:spacing w:after="0" w:line="480" w:lineRule="auto"/>
        <w:ind w:firstLine="720"/>
        <w:jc w:val="both"/>
        <w:rPr>
          <w:sz w:val="22"/>
          <w:szCs w:val="22"/>
        </w:rPr>
      </w:pPr>
      <w:r w:rsidRPr="00CC3DB5">
        <w:rPr>
          <w:sz w:val="22"/>
          <w:szCs w:val="22"/>
        </w:rPr>
        <w:t xml:space="preserve">We previously estimated the number of independent vesicle release sites per IHC ribbon synapse to be around 10, based on electron microscopy studies and quantitative analysis of release rate dynamics in response to sound stimulation </w:t>
      </w:r>
      <w:r w:rsidRPr="00CC3DB5">
        <w:rPr>
          <w:sz w:val="22"/>
          <w:szCs w:val="22"/>
        </w:rPr>
        <w:fldChar w:fldCharType="begin"/>
      </w:r>
      <w:r w:rsidR="00ED72E6" w:rsidRPr="00CC3DB5">
        <w:rPr>
          <w:sz w:val="22"/>
          <w:szCs w:val="22"/>
        </w:rPr>
        <w:instrText xml:space="preserve"> ADDIN ZOTERO_ITEM CSL_CITATION {"citationID":"a14l403r9pr","properties":{"formattedCitation":"({\\i{}4}, {\\i{}14})","plainCitation":"(4, 14)","noteIndex":0},"citationItems":[{"id":9999,"uris":["http://zotero.org/users/598743/items/UNF2KIH5"],"uri":["http://zotero.org/users/598743/items/UNF2KIH5"],"itemData":{"id":9999,"type":"article-journal","abstract":"Ca(2+) influx triggers the fusion of synaptic vesicles at the presynaptic active zone (AZ). Here we demonstrate a role of Ras-related in brain 3 (Rab3)-interacting molecules 2α and β (RIM2α and RIM2β) in clustering voltage-gated CaV1.3 Ca(2+) channels at the AZs of sensory inner hair cells (IHCs). We show that IHCs of hearing mice express mainly RIM2α, but also RIM2β and RIM3γ, which all localize to the AZs, as shown by immunofluorescence microscopy. Immunohistochemistry, patch-clamp, fluctuation analysis, and confocal Ca(2+) imaging demonstrate that AZs of RIM2α-deficient IHCs cluster fewer synaptic CaV1.3 Ca(2+) channels, resulting in reduced synaptic Ca(2+) influx. Using superresolution microscopy, we found that Ca(2+) channels remained clustered in stripes underneath anchored ribbons. Electron tomography of high-pressure frozen synapses revealed a reduced fraction of membrane-tethered vesicles, whereas the total number of membrane-proximal vesicles was unaltered. Membrane capacitance measurements revealed a reduction of exocytosis largely in proportion with the Ca(2+) current, whereas the apparent Ca(2+) dependence of exocytosis was unchanged. Hair cell-specific deletion of all RIM2 isoforms caused a stronger reduction of Ca(2+) influx and exocytosis and significantly impaired the encoding of sound onset in the postsynaptic spiral ganglion neurons. Auditory brainstem responses indicated a mild hearing impairment on hair cell-specific deletion of all RIM2 isoforms or global inactivation of RIM2α. We conclude that RIM2α and RIM2β promote a large complement of synaptic Ca(2+) channels at IHC AZs and are required for normal hearing.","container-title":"Proceedings of the National Academy of Sciences","DOI":"10.1073/pnas.1417207112","ISSN":"0027-8424, 1091-6490","issue":"24","journalAbbreviation":"Proc. Natl. Acad. Sci. U.S.A.","language":"en","note":"PMID: 26034270\nPMCID: PMC4475996","page":"E3141-E3149","source":"CrossRef","title":"Rab3-interacting molecules 2α and 2β promote the abundance of voltage-gated CaV1.3 Ca2+ channels at hair cell active zones","volume":"112","author":[{"family":"Jung","given":"Sangyong"},{"family":"Oshima-Takago","given":"Tomoko"},{"family":"Chakrabarti","given":"Rituparna"},{"family":"Wong","given":"Aaron B."},{"family":"Jing","given":"Zhizi"},{"family":"Yamanbaeva","given":"Gulnara"},{"family":"Picher","given":"Maria Magdalena"},{"family":"Wojcik","given":"Sonja M."},{"family":"Göttfert","given":"Fabian"},{"family":"Predoehl","given":"Friederike"},{"family":"Michel","given":"Katrin"},{"family":"Hell","given":"Stefan W."},{"family":"Schoch","given":"Susanne"},{"family":"Strenzke","given":"Nicola"},{"family":"Wichmann","given":"Carolin"},{"family":"Moser","given":"Tobias"}],"issued":{"date-parts":[["2015",6,16]]}}},{"id":9679,"uris":["http://zotero.org/users/598743/items/8JF7JC6H"],"uri":["http://zotero.org/users/598743/items/8JF7JC6H"],"itemData":{"id":9679,"type":"article-journal","abstract":"Inner hair cell ribbon synapses indefatigably transmit acoustic information. The proteins mediating their fast vesicle replenishment (hundreds of vesicles per s) are unknown. We found that an aspartate to glycine substitution in the C(2)F domain of the synaptic vesicle protein otoferlin impaired hearing by reducing vesicle replenishment in the pachanga mouse model of human deafness DFNB9. In vitro estimates of vesicle docking, the readily releasable vesicle pool (RRP), Ca(2+) signaling and vesicle fusion were normal. Moreover, we observed postsynaptic excitatory currents of variable size and spike generation. However, mutant active zones replenished vesicles at lower rates than wild-type ones and sound-evoked spiking in auditory neurons was sparse and only partially improved during longer interstimulus intervals. We conclude that replenishment does not match the release of vesicles at mutant active zones in vivo and a sufficient standing RRP therefore cannot be maintained. We propose that otoferlin is involved in replenishing synaptic vesicles.","container-title":"Nature Neuroscience","DOI":"10.1038/nn.2578","ISSN":"1546-1726","issue":"7","journalAbbreviation":"Nat. Neurosci.","language":"eng","note":"PMID: 20562868","page":"869-876","source":"NCBI PubMed","title":"Hearing requires otoferlin-dependent efficient replenishment of synaptic vesicles in hair cells","volume":"13","author":[{"family":"Pangrsic","given":"Tina"},{"family":"Lasarow","given":"Livia"},{"family":"Reuter","given":"Kirsten"},{"family":"Takago","given":"Hideki"},{"family":"Schwander","given":"Martin"},{"family":"Riedel","given":"Dietmar"},{"family":"Frank","given":"Thomas"},{"family":"Tarantino","given":"Lisa M."},{"family":"Bailey","given":"Janice S."},{"family":"Strenzke","given":"Nicola"},{"family":"Brose","given":"Nils"},{"family":"Müller","given":"Ulrich"},{"family":"Reisinger","given":"Ellen"},{"family":"Moser","given":"Tobias"}],"issued":{"date-parts":[["2010",7]]}}}],"schema":"https://github.com/citation-style-language/schema/raw/master/csl-citation.json"} </w:instrText>
      </w:r>
      <w:r w:rsidRPr="00CC3DB5">
        <w:rPr>
          <w:sz w:val="22"/>
          <w:szCs w:val="22"/>
        </w:rPr>
        <w:fldChar w:fldCharType="separate"/>
      </w:r>
      <w:r w:rsidR="00ED72E6" w:rsidRPr="00CC3DB5">
        <w:rPr>
          <w:rFonts w:eastAsia="Times New Roman"/>
          <w:sz w:val="22"/>
        </w:rPr>
        <w:t>(</w:t>
      </w:r>
      <w:r w:rsidR="00ED72E6" w:rsidRPr="00CC3DB5">
        <w:rPr>
          <w:rFonts w:eastAsia="Times New Roman"/>
          <w:i/>
          <w:iCs/>
          <w:sz w:val="22"/>
        </w:rPr>
        <w:t>4</w:t>
      </w:r>
      <w:r w:rsidR="00ED72E6" w:rsidRPr="00CC3DB5">
        <w:rPr>
          <w:rFonts w:eastAsia="Times New Roman"/>
          <w:sz w:val="22"/>
        </w:rPr>
        <w:t xml:space="preserve">, </w:t>
      </w:r>
      <w:r w:rsidR="00ED72E6" w:rsidRPr="00CC3DB5">
        <w:rPr>
          <w:rFonts w:eastAsia="Times New Roman"/>
          <w:i/>
          <w:iCs/>
          <w:sz w:val="22"/>
        </w:rPr>
        <w:t>14</w:t>
      </w:r>
      <w:r w:rsidR="00ED72E6" w:rsidRPr="00CC3DB5">
        <w:rPr>
          <w:rFonts w:eastAsia="Times New Roman"/>
          <w:sz w:val="22"/>
        </w:rPr>
        <w:t>)</w:t>
      </w:r>
      <w:r w:rsidRPr="00CC3DB5">
        <w:rPr>
          <w:sz w:val="22"/>
          <w:szCs w:val="22"/>
        </w:rPr>
        <w:fldChar w:fldCharType="end"/>
      </w:r>
      <w:r w:rsidRPr="00CC3DB5">
        <w:rPr>
          <w:sz w:val="22"/>
          <w:szCs w:val="22"/>
        </w:rPr>
        <w:t>. Therefore, 10 Ca</w:t>
      </w:r>
      <w:r w:rsidRPr="00CC3DB5">
        <w:rPr>
          <w:sz w:val="22"/>
          <w:szCs w:val="22"/>
          <w:vertAlign w:val="superscript"/>
        </w:rPr>
        <w:t>2+</w:t>
      </w:r>
      <w:r w:rsidRPr="00CC3DB5">
        <w:rPr>
          <w:sz w:val="22"/>
          <w:szCs w:val="22"/>
        </w:rPr>
        <w:t>-channels were considered to simulate the 10 Ca</w:t>
      </w:r>
      <w:r w:rsidRPr="00CC3DB5">
        <w:rPr>
          <w:sz w:val="22"/>
          <w:szCs w:val="22"/>
          <w:vertAlign w:val="superscript"/>
        </w:rPr>
        <w:t>2+</w:t>
      </w:r>
      <w:r w:rsidRPr="00CC3DB5">
        <w:rPr>
          <w:sz w:val="22"/>
          <w:szCs w:val="22"/>
        </w:rPr>
        <w:t xml:space="preserve"> channel-release units of a synapse. Release events occurring at any of those 10 units were considered as inputs to a single postsynaptic </w:t>
      </w:r>
      <w:r w:rsidR="000D786D" w:rsidRPr="00CC3DB5">
        <w:rPr>
          <w:sz w:val="22"/>
          <w:szCs w:val="22"/>
        </w:rPr>
        <w:t>SGN</w:t>
      </w:r>
      <w:r w:rsidRPr="00CC3DB5">
        <w:rPr>
          <w:sz w:val="22"/>
          <w:szCs w:val="22"/>
        </w:rPr>
        <w:t xml:space="preserve">. In mammals, most </w:t>
      </w:r>
      <w:r w:rsidR="000D786D" w:rsidRPr="00CC3DB5">
        <w:rPr>
          <w:sz w:val="22"/>
          <w:szCs w:val="22"/>
        </w:rPr>
        <w:t>SGNs</w:t>
      </w:r>
      <w:r w:rsidRPr="00CC3DB5">
        <w:rPr>
          <w:sz w:val="22"/>
          <w:szCs w:val="22"/>
        </w:rPr>
        <w:t xml:space="preserve"> receive input from only one ribbon synapse. Release events occurring in close succession were pruned by a refractory process with an absolute refractory period of 0.6 ms and a relative refractory period of 0.65 ms as we used earlier </w:t>
      </w:r>
      <w:r w:rsidRPr="00CC3DB5">
        <w:rPr>
          <w:sz w:val="22"/>
          <w:szCs w:val="22"/>
        </w:rPr>
        <w:fldChar w:fldCharType="begin"/>
      </w:r>
      <w:r w:rsidR="00ED72E6" w:rsidRPr="00CC3DB5">
        <w:rPr>
          <w:sz w:val="22"/>
          <w:szCs w:val="22"/>
        </w:rPr>
        <w:instrText xml:space="preserve"> ADDIN ZOTERO_ITEM CSL_CITATION {"citationID":"mIlS2yqG","properties":{"formattedCitation":"({\\i{}24}, {\\i{}25})","plainCitation":"(24, 25)","noteIndex":0},"citationItems":[{"id":99,"uris":["http://zotero.org/users/598743/items/93WK8WPT"],"uri":["http://zotero.org/users/598743/items/93WK8WPT"],"itemData":{"id":99,"type":"article-journal","container-title":"Neuron","DOI":"10.1016/j.neuron.2010.10.027","ISSN":"08966273","issue":"4","journalAbbreviation":"Neuron","note":"00000","page":"724-738","source":"CrossRef","title":"Bassoon and the synaptic ribbon organize Ca²+ channels and vesicles to add release sites and promote refilling","volume":"68","author":[{"family":"Frank","given":"Thomas"},{"family":"Rutherford","given":"Mark A."},{"family":"Strenzke","given":"Nicola"},{"family":"Neef","given":"Andreas"},{"family":"Pangršič","given":"Tina"},{"family":"Khimich","given":"Darina"},{"family":"Fejtova","given":"Anna"},{"family":"Gundelfinger","given":"Eckart D."},{"family":"Liberman","given":"M. Charles"},{"family":"Harke","given":"Benjamin"},{"family":"Bryan","given":"Keith E"},{"family":"Lee","given":"Amy"},{"family":"Egner","given":"Alexander"},{"family":"Riedel","given":"Dietmar"},{"family":"Moser","given":"Tobias"}],"issued":{"date-parts":[["2010",11,17]]}}},{"id":9935,"uris":["http://zotero.org/users/598743/items/INPMG5G3"],"uri":["http://zotero.org/users/598743/items/INPMG5G3"],"itemData":{"id":9935,"type":"article-journal","abstract":"Active zones (AZs) of inner hair cells (IHCs) indefatigably release hundreds of vesicles per second, requiring each release site to reload vesicles at tens per second. Here, we report that the endocytic adaptor protein 2μ (AP-2μ) is required for release site replenishment and hearing. We show that hair cell-specific disruption of AP-2μ slows IHC exocytosis immediately after fusion of the readily releasable pool of vesicles, despite normal abundance of membrane-proximal vesicles and intact endocytic membrane retrieval. Sound-driven postsynaptic spiking was reduced in a use-dependent manner, and the altered interspike interval statistics suggested a slowed reloading of release sites. Sustained strong stimulation led to accumulation of endosome-like vacuoles, fewer clathrin-coated endocytic intermediates, and vesicle depletion of the membrane-distal synaptic ribbon in AP-2μ-deficient IHCs, indicating a further role of AP-2μ in clathrin-dependent vesicle reformation on a timescale of many seconds. Finally, we show that AP-2 sorts its IHC-cargo otoferlin. We propose that binding of AP-2 to otoferlin facilitates replenishment of release sites, for example, via speeding AZ clearance of exocytosed material, in addition to a role of AP-2 in synaptic vesicle reformation.","container-title":"The EMBO Journal","DOI":"10.15252/embj.201591885","ISSN":"1460-2075","issue":"21","journalAbbreviation":"EMBO J.","language":"eng","note":"PMID: 26446278\nPMCID: PMC4641533","page":"2686-2702","source":"PubMed","title":"Disruption of adaptor protein 2μ (AP-2μ) in cochlear hair cells impairs vesicle reloading of synaptic release sites and hearing","volume":"34","author":[{"family":"Jung","given":"SangYong"},{"family":"Maritzen","given":"Tanja"},{"family":"Wichmann","given":"Carolin"},{"family":"Jing","given":"Zhizi"},{"family":"Neef","given":"Andreas"},{"family":"Revelo","given":"Natalia H."},{"family":"Al-Moyed","given":"Hanan"},{"family":"Meese","given":"Sandra"},{"family":"Wojcik","given":"Sonja M."},{"family":"Panou","given":"Iliana"},{"family":"Bulut","given":"Haydar"},{"family":"Schu","given":"Peter"},{"family":"Ficner","given":"Ralf"},{"family":"Reisinger","given":"Ellen"},{"family":"Rizzoli","given":"Silvio O."},{"family":"Neef","given":"Jakob"},{"family":"Strenzke","given":"Nicola"},{"family":"Haucke","given":"Volker"},{"family":"Moser","given":"Tobias"}],"issued":{"date-parts":[["2015",11,3]]}}}],"schema":"https://github.com/citation-style-language/schema/raw/master/csl-citation.json"} </w:instrText>
      </w:r>
      <w:r w:rsidRPr="00CC3DB5">
        <w:rPr>
          <w:sz w:val="22"/>
          <w:szCs w:val="22"/>
        </w:rPr>
        <w:fldChar w:fldCharType="separate"/>
      </w:r>
      <w:r w:rsidR="00ED72E6" w:rsidRPr="00CC3DB5">
        <w:rPr>
          <w:rFonts w:eastAsia="Times New Roman"/>
          <w:sz w:val="22"/>
        </w:rPr>
        <w:t>(</w:t>
      </w:r>
      <w:r w:rsidR="00ED72E6" w:rsidRPr="00CC3DB5">
        <w:rPr>
          <w:rFonts w:eastAsia="Times New Roman"/>
          <w:i/>
          <w:iCs/>
          <w:sz w:val="22"/>
        </w:rPr>
        <w:t>24</w:t>
      </w:r>
      <w:r w:rsidR="00ED72E6" w:rsidRPr="00CC3DB5">
        <w:rPr>
          <w:rFonts w:eastAsia="Times New Roman"/>
          <w:sz w:val="22"/>
        </w:rPr>
        <w:t xml:space="preserve">, </w:t>
      </w:r>
      <w:r w:rsidR="00ED72E6" w:rsidRPr="00CC3DB5">
        <w:rPr>
          <w:rFonts w:eastAsia="Times New Roman"/>
          <w:i/>
          <w:iCs/>
          <w:sz w:val="22"/>
        </w:rPr>
        <w:t>25</w:t>
      </w:r>
      <w:r w:rsidR="00ED72E6" w:rsidRPr="00CC3DB5">
        <w:rPr>
          <w:rFonts w:eastAsia="Times New Roman"/>
          <w:sz w:val="22"/>
        </w:rPr>
        <w:t>)</w:t>
      </w:r>
      <w:r w:rsidRPr="00CC3DB5">
        <w:rPr>
          <w:sz w:val="22"/>
          <w:szCs w:val="22"/>
        </w:rPr>
        <w:fldChar w:fldCharType="end"/>
      </w:r>
      <w:r w:rsidRPr="00CC3DB5">
        <w:rPr>
          <w:sz w:val="22"/>
          <w:szCs w:val="22"/>
        </w:rPr>
        <w:t xml:space="preserve">, based on our experimental estimates </w:t>
      </w:r>
      <w:r w:rsidRPr="00CC3DB5">
        <w:rPr>
          <w:sz w:val="22"/>
          <w:szCs w:val="22"/>
        </w:rPr>
        <w:fldChar w:fldCharType="begin"/>
      </w:r>
      <w:r w:rsidR="00ED72E6" w:rsidRPr="00CC3DB5">
        <w:rPr>
          <w:sz w:val="22"/>
          <w:szCs w:val="22"/>
        </w:rPr>
        <w:instrText xml:space="preserve"> ADDIN ZOTERO_ITEM CSL_CITATION {"citationID":"KuklfaB1","properties":{"formattedCitation":"({\\i{}26})","plainCitation":"(26)","noteIndex":0},"citationItems":[{"id":9377,"uris":["http://zotero.org/users/598743/items/GQ4GPU25"],"uri":["http://zotero.org/users/598743/items/GQ4GPU25"],"itemData":{"id":9377,"type":"article-journal","abstract":"Synaptic ribbons, found at the presynaptic membrane of sensory cells in both ear and eye, have been implicated in the vesicle-pool dynamics of synaptic transmission. To elucidate ribbon function, we characterized the response properties of single auditory nerve fibers in mice lacking Bassoon, a scaffolding protein involved in anchoring ribbons to the membrane. In bassoon mutants, immunohistochemistry showed that fewer than 3% of the hair cells' afferent synapses retained anchored ribbons. Auditory nerve fibers from mutants had normal threshold, dynamic range, and postonset adaptation in response to tone bursts, and they were able to phase lock with normal precision to amplitude-modulated tones. However, spontaneous and sound-evoked discharge rates were reduced, and the reliability of spikes, particularly at stimulus onset, was significantly degraded as shown by an increased variance of first-spike latencies. Modeling based on in vitro studies of normal and mutant hair cells links these findings to reduced release rates at the synapse. The degradation of response reliability in these mutants suggests that the ribbon and/or Bassoon normally facilitate high rates of exocytosis and that its absence significantly compromises the temporal resolving power of the auditory system.","container-title":"The Journal of Neuroscience: The Official Journal of the Society for Neuroscience","DOI":"10.1523/JNEUROSCI.0389-10.2010","ISSN":"1529-2401","issue":"22","journalAbbreviation":"J. Neurosci.","language":"eng","note":"PMID: 20519533 \nPMCID: PMC2901931","page":"7587-7597","source":"NCBI PubMed","title":"Onset coding is degraded in auditory nerve fibers from mutant mice lacking synaptic ribbons","volume":"30","author":[{"family":"Buran","given":"Bradley N."},{"family":"Strenzke","given":"Nicola"},{"family":"Neef","given":"Andreas"},{"family":"Gundelfinger","given":"Eckart D."},{"family":"Moser","given":"Tobias"},{"family":"Liberman","given":"M. Charles"}],"issued":{"date-parts":[["2010",6,2]]}}}],"schema":"https://github.com/citation-style-language/schema/raw/master/csl-citation.json"} </w:instrText>
      </w:r>
      <w:r w:rsidRPr="00CC3DB5">
        <w:rPr>
          <w:sz w:val="22"/>
          <w:szCs w:val="22"/>
        </w:rPr>
        <w:fldChar w:fldCharType="separate"/>
      </w:r>
      <w:r w:rsidR="00ED72E6" w:rsidRPr="00CC3DB5">
        <w:rPr>
          <w:rFonts w:eastAsia="Times New Roman"/>
          <w:sz w:val="22"/>
        </w:rPr>
        <w:t>(</w:t>
      </w:r>
      <w:r w:rsidR="00ED72E6" w:rsidRPr="00CC3DB5">
        <w:rPr>
          <w:rFonts w:eastAsia="Times New Roman"/>
          <w:i/>
          <w:iCs/>
          <w:sz w:val="22"/>
        </w:rPr>
        <w:t>26</w:t>
      </w:r>
      <w:r w:rsidR="00ED72E6" w:rsidRPr="00CC3DB5">
        <w:rPr>
          <w:rFonts w:eastAsia="Times New Roman"/>
          <w:sz w:val="22"/>
        </w:rPr>
        <w:t>)</w:t>
      </w:r>
      <w:r w:rsidRPr="00CC3DB5">
        <w:rPr>
          <w:sz w:val="22"/>
          <w:szCs w:val="22"/>
        </w:rPr>
        <w:fldChar w:fldCharType="end"/>
      </w:r>
      <w:r w:rsidRPr="00CC3DB5">
        <w:rPr>
          <w:sz w:val="22"/>
          <w:szCs w:val="22"/>
        </w:rPr>
        <w:t>. In this way, 10 independent trials of single Ca</w:t>
      </w:r>
      <w:r w:rsidRPr="00CC3DB5">
        <w:rPr>
          <w:sz w:val="22"/>
          <w:szCs w:val="22"/>
          <w:vertAlign w:val="subscript"/>
        </w:rPr>
        <w:t>V</w:t>
      </w:r>
      <w:r w:rsidRPr="00CC3DB5">
        <w:rPr>
          <w:sz w:val="22"/>
          <w:szCs w:val="22"/>
        </w:rPr>
        <w:t>1.3 channels yield one realization of an action potential sequence from a synapse (</w:t>
      </w:r>
      <w:r w:rsidR="00594A86" w:rsidRPr="00CC3DB5">
        <w:rPr>
          <w:sz w:val="22"/>
          <w:szCs w:val="22"/>
        </w:rPr>
        <w:t>Fig</w:t>
      </w:r>
      <w:r w:rsidRPr="00CC3DB5">
        <w:rPr>
          <w:sz w:val="22"/>
          <w:szCs w:val="22"/>
        </w:rPr>
        <w:t xml:space="preserve">. </w:t>
      </w:r>
      <w:r w:rsidR="00594A86" w:rsidRPr="00CC3DB5">
        <w:rPr>
          <w:sz w:val="22"/>
          <w:szCs w:val="22"/>
        </w:rPr>
        <w:t>S</w:t>
      </w:r>
      <w:r w:rsidR="00333430" w:rsidRPr="00CC3DB5">
        <w:rPr>
          <w:sz w:val="22"/>
          <w:szCs w:val="22"/>
        </w:rPr>
        <w:t>11c</w:t>
      </w:r>
      <w:r w:rsidRPr="00CC3DB5">
        <w:rPr>
          <w:sz w:val="22"/>
          <w:szCs w:val="22"/>
        </w:rPr>
        <w:t xml:space="preserve">. In order to obtain not only a single realization, but rather an approximation of the instantaneous rate of action potentials under the given realization of mechanotransduction, we simulated 35,000 trials </w:t>
      </w:r>
      <w:proofErr w:type="spellStart"/>
      <w:r w:rsidRPr="00CC3DB5">
        <w:rPr>
          <w:sz w:val="22"/>
          <w:szCs w:val="22"/>
        </w:rPr>
        <w:t>equaling</w:t>
      </w:r>
      <w:proofErr w:type="spellEnd"/>
      <w:r w:rsidRPr="00CC3DB5">
        <w:rPr>
          <w:sz w:val="22"/>
          <w:szCs w:val="22"/>
        </w:rPr>
        <w:t xml:space="preserve"> to 3,500 synapses (</w:t>
      </w:r>
      <w:r w:rsidR="00594A86" w:rsidRPr="00CC3DB5">
        <w:rPr>
          <w:sz w:val="22"/>
          <w:szCs w:val="22"/>
        </w:rPr>
        <w:t>Fig</w:t>
      </w:r>
      <w:r w:rsidRPr="00CC3DB5">
        <w:rPr>
          <w:sz w:val="22"/>
          <w:szCs w:val="22"/>
        </w:rPr>
        <w:t xml:space="preserve">. </w:t>
      </w:r>
      <w:r w:rsidR="00382735" w:rsidRPr="00CC3DB5">
        <w:rPr>
          <w:sz w:val="22"/>
          <w:szCs w:val="22"/>
        </w:rPr>
        <w:t>8</w:t>
      </w:r>
      <w:r w:rsidR="00594A86" w:rsidRPr="00CC3DB5">
        <w:rPr>
          <w:sz w:val="22"/>
          <w:szCs w:val="22"/>
        </w:rPr>
        <w:t>g</w:t>
      </w:r>
      <w:r w:rsidRPr="00CC3DB5">
        <w:rPr>
          <w:sz w:val="22"/>
          <w:szCs w:val="22"/>
        </w:rPr>
        <w:t xml:space="preserve">). </w:t>
      </w:r>
    </w:p>
    <w:p w14:paraId="373F1F18" w14:textId="77777777" w:rsidR="0096640C" w:rsidRPr="00CC3DB5" w:rsidRDefault="0096640C" w:rsidP="00FA0D61">
      <w:pPr>
        <w:pStyle w:val="NormalWeb"/>
        <w:spacing w:before="0" w:beforeAutospacing="0" w:after="0" w:afterAutospacing="0" w:line="480" w:lineRule="auto"/>
        <w:jc w:val="both"/>
        <w:rPr>
          <w:sz w:val="22"/>
          <w:szCs w:val="22"/>
        </w:rPr>
      </w:pPr>
      <w:r w:rsidRPr="00CC3DB5">
        <w:rPr>
          <w:sz w:val="22"/>
          <w:szCs w:val="22"/>
        </w:rPr>
        <w:t xml:space="preserve">For all simulations in this study, we restrict ourselves to weak stimuli, i.e. causing low release rates. Therefore, the release sites are rarely depleted and the dynamics of release site refilling is of little influence. Hence, to simplify the model, we ignored the time required to refill the release site. We feel </w:t>
      </w:r>
      <w:r w:rsidRPr="00CC3DB5">
        <w:rPr>
          <w:sz w:val="22"/>
          <w:szCs w:val="22"/>
        </w:rPr>
        <w:lastRenderedPageBreak/>
        <w:t>this is further justified, because the improved signal to noise in the syncytium is driven by averaging of the mechano</w:t>
      </w:r>
      <w:r w:rsidRPr="00CC3DB5">
        <w:rPr>
          <w:sz w:val="22"/>
          <w:szCs w:val="22"/>
        </w:rPr>
        <w:softHyphen/>
        <w:t xml:space="preserve">transducer currents, i.e. events upstream of vesicle release. </w:t>
      </w:r>
    </w:p>
    <w:p w14:paraId="0B98A5E7" w14:textId="77777777" w:rsidR="0096640C" w:rsidRPr="00CC3DB5" w:rsidRDefault="0096640C" w:rsidP="00FA0D61">
      <w:pPr>
        <w:pStyle w:val="NormalWeb"/>
        <w:spacing w:before="0" w:beforeAutospacing="0" w:after="0" w:afterAutospacing="0" w:line="480" w:lineRule="auto"/>
        <w:jc w:val="both"/>
        <w:rPr>
          <w:sz w:val="22"/>
          <w:szCs w:val="22"/>
        </w:rPr>
      </w:pPr>
    </w:p>
    <w:p w14:paraId="3346FD97" w14:textId="0105E804" w:rsidR="000A0A89" w:rsidRPr="00CC3DB5" w:rsidRDefault="00D32C28" w:rsidP="00FA0D61">
      <w:pPr>
        <w:pStyle w:val="NormalWeb"/>
        <w:spacing w:before="0" w:beforeAutospacing="0" w:after="0" w:afterAutospacing="0" w:line="480" w:lineRule="auto"/>
        <w:jc w:val="both"/>
        <w:rPr>
          <w:b/>
          <w:noProof/>
          <w:sz w:val="22"/>
          <w:szCs w:val="22"/>
          <w:lang w:val="en-US" w:eastAsia="en-US"/>
        </w:rPr>
      </w:pPr>
      <w:r w:rsidRPr="00CC3DB5">
        <w:rPr>
          <w:b/>
          <w:noProof/>
          <w:sz w:val="22"/>
          <w:szCs w:val="22"/>
        </w:rPr>
        <w:drawing>
          <wp:inline distT="0" distB="0" distL="0" distR="0" wp14:anchorId="2A08DEBF" wp14:editId="0EE84E06">
            <wp:extent cx="4724400" cy="4648200"/>
            <wp:effectExtent l="0" t="0" r="0" b="0"/>
            <wp:docPr id="4" name="Picture 4" descr="Fig S8 Model 08111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 S8 Model 081119-0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724400" cy="4648200"/>
                    </a:xfrm>
                    <a:prstGeom prst="rect">
                      <a:avLst/>
                    </a:prstGeom>
                    <a:noFill/>
                    <a:ln>
                      <a:noFill/>
                    </a:ln>
                  </pic:spPr>
                </pic:pic>
              </a:graphicData>
            </a:graphic>
          </wp:inline>
        </w:drawing>
      </w:r>
    </w:p>
    <w:p w14:paraId="7A213BA6" w14:textId="1E26D5C2" w:rsidR="0096640C" w:rsidRPr="00CC3DB5" w:rsidRDefault="7AA29AA8" w:rsidP="7AA29AA8">
      <w:pPr>
        <w:pStyle w:val="NormalWeb"/>
        <w:spacing w:before="0" w:beforeAutospacing="0" w:after="0" w:afterAutospacing="0"/>
        <w:jc w:val="both"/>
        <w:rPr>
          <w:sz w:val="22"/>
          <w:szCs w:val="22"/>
        </w:rPr>
      </w:pPr>
      <w:r w:rsidRPr="7AA29AA8">
        <w:rPr>
          <w:b/>
          <w:bCs/>
          <w:sz w:val="22"/>
          <w:szCs w:val="22"/>
        </w:rPr>
        <w:t>Supplementary figure</w:t>
      </w:r>
      <w:r w:rsidR="00D92572">
        <w:rPr>
          <w:b/>
          <w:bCs/>
          <w:sz w:val="22"/>
          <w:szCs w:val="22"/>
        </w:rPr>
        <w:t xml:space="preserve"> </w:t>
      </w:r>
      <w:r w:rsidRPr="7AA29AA8">
        <w:rPr>
          <w:b/>
          <w:bCs/>
          <w:sz w:val="22"/>
          <w:szCs w:val="22"/>
        </w:rPr>
        <w:t>12: Coupling of three IHCs increases the correlations between action potential firing by SGNs</w:t>
      </w:r>
      <w:r w:rsidRPr="7AA29AA8">
        <w:rPr>
          <w:sz w:val="22"/>
          <w:szCs w:val="22"/>
        </w:rPr>
        <w:t xml:space="preserve">. </w:t>
      </w:r>
      <w:r w:rsidRPr="7AA29AA8">
        <w:rPr>
          <w:b/>
          <w:bCs/>
          <w:sz w:val="22"/>
          <w:szCs w:val="22"/>
        </w:rPr>
        <w:t xml:space="preserve">(b) </w:t>
      </w:r>
      <w:r w:rsidRPr="7AA29AA8">
        <w:rPr>
          <w:sz w:val="22"/>
          <w:szCs w:val="22"/>
        </w:rPr>
        <w:t xml:space="preserve">In the first configuration of the model, six SGNs relay auditory information from three IHCs to a bushy cell, which fires only if sufficiently coincident input arrives from the SGNs. </w:t>
      </w:r>
      <w:r w:rsidRPr="7AA29AA8">
        <w:rPr>
          <w:b/>
          <w:bCs/>
          <w:sz w:val="22"/>
          <w:szCs w:val="22"/>
        </w:rPr>
        <w:t>(b)</w:t>
      </w:r>
      <w:r w:rsidRPr="7AA29AA8">
        <w:rPr>
          <w:sz w:val="22"/>
          <w:szCs w:val="22"/>
        </w:rPr>
        <w:t xml:space="preserve"> A short section of membrane voltage and action potential frequency (average event rate within 200 µs, across 4,500 synapses) are shown for uncoupled (left) and coupled IHCs with a junctional resistance of 15 </w:t>
      </w:r>
      <w:proofErr w:type="spellStart"/>
      <w:r w:rsidRPr="7AA29AA8">
        <w:rPr>
          <w:sz w:val="22"/>
          <w:szCs w:val="22"/>
        </w:rPr>
        <w:t>MOhm</w:t>
      </w:r>
      <w:proofErr w:type="spellEnd"/>
      <w:r w:rsidRPr="7AA29AA8">
        <w:rPr>
          <w:sz w:val="22"/>
          <w:szCs w:val="22"/>
        </w:rPr>
        <w:t xml:space="preserve"> (right) - compare to the dataset for 25 </w:t>
      </w:r>
      <w:proofErr w:type="spellStart"/>
      <w:r w:rsidRPr="7AA29AA8">
        <w:rPr>
          <w:sz w:val="22"/>
          <w:szCs w:val="22"/>
        </w:rPr>
        <w:t>MOhm</w:t>
      </w:r>
      <w:proofErr w:type="spellEnd"/>
      <w:r w:rsidRPr="7AA29AA8">
        <w:rPr>
          <w:sz w:val="22"/>
          <w:szCs w:val="22"/>
        </w:rPr>
        <w:t xml:space="preserve"> in Fig. 8. Note how the coupling improves correlations between the action potential rate for SGNs originating at </w:t>
      </w:r>
      <w:proofErr w:type="spellStart"/>
      <w:r w:rsidRPr="7AA29AA8">
        <w:rPr>
          <w:sz w:val="22"/>
          <w:szCs w:val="22"/>
        </w:rPr>
        <w:t>neighboring</w:t>
      </w:r>
      <w:proofErr w:type="spellEnd"/>
      <w:r w:rsidRPr="7AA29AA8">
        <w:rPr>
          <w:sz w:val="22"/>
          <w:szCs w:val="22"/>
        </w:rPr>
        <w:t xml:space="preserve"> IHCs as well as the correlation between the mechanical stimulus and the action potential rate (in parentheses).</w:t>
      </w:r>
    </w:p>
    <w:p w14:paraId="11AAD7C8" w14:textId="77777777" w:rsidR="0057493F" w:rsidRPr="00CC3DB5" w:rsidRDefault="0057493F" w:rsidP="0057493F">
      <w:pPr>
        <w:pStyle w:val="NormalWeb"/>
        <w:spacing w:before="0" w:beforeAutospacing="0" w:after="0" w:afterAutospacing="0"/>
        <w:jc w:val="both"/>
        <w:rPr>
          <w:sz w:val="22"/>
          <w:szCs w:val="22"/>
        </w:rPr>
      </w:pPr>
    </w:p>
    <w:p w14:paraId="6B091D27" w14:textId="77777777" w:rsidR="0019592E" w:rsidRPr="00CC3DB5" w:rsidRDefault="0019592E" w:rsidP="0057493F">
      <w:pPr>
        <w:pStyle w:val="NormalWeb"/>
        <w:spacing w:before="0" w:beforeAutospacing="0" w:after="0" w:afterAutospacing="0"/>
        <w:ind w:firstLine="720"/>
        <w:jc w:val="both"/>
        <w:rPr>
          <w:sz w:val="22"/>
          <w:szCs w:val="22"/>
        </w:rPr>
      </w:pPr>
    </w:p>
    <w:p w14:paraId="05900505" w14:textId="612E2505" w:rsidR="0096640C" w:rsidRPr="00CC3DB5" w:rsidRDefault="0096640C" w:rsidP="0057493F">
      <w:pPr>
        <w:pStyle w:val="NormalWeb"/>
        <w:spacing w:before="0" w:beforeAutospacing="0" w:after="0" w:afterAutospacing="0" w:line="480" w:lineRule="auto"/>
        <w:jc w:val="both"/>
        <w:rPr>
          <w:sz w:val="22"/>
          <w:szCs w:val="22"/>
        </w:rPr>
      </w:pPr>
      <w:r w:rsidRPr="00CC3DB5">
        <w:rPr>
          <w:sz w:val="22"/>
          <w:szCs w:val="22"/>
        </w:rPr>
        <w:t>In summary, our model includes a deterministic sinusoidal stimulus that controls stochastic mechano</w:t>
      </w:r>
      <w:r w:rsidRPr="00CC3DB5">
        <w:rPr>
          <w:sz w:val="22"/>
          <w:szCs w:val="22"/>
        </w:rPr>
        <w:softHyphen/>
        <w:t>transducer channels. The resulting current drives excursions of the membrane voltage, which in turn controls Ca</w:t>
      </w:r>
      <w:r w:rsidRPr="00CC3DB5">
        <w:rPr>
          <w:sz w:val="22"/>
          <w:szCs w:val="22"/>
          <w:vertAlign w:val="superscript"/>
        </w:rPr>
        <w:t>2+</w:t>
      </w:r>
      <w:r w:rsidR="00972F89" w:rsidRPr="00CC3DB5">
        <w:rPr>
          <w:sz w:val="22"/>
          <w:szCs w:val="22"/>
        </w:rPr>
        <w:t xml:space="preserve"> </w:t>
      </w:r>
      <w:r w:rsidRPr="00CC3DB5">
        <w:rPr>
          <w:sz w:val="22"/>
          <w:szCs w:val="22"/>
        </w:rPr>
        <w:t>channel gating and long single Ca</w:t>
      </w:r>
      <w:r w:rsidRPr="00CC3DB5">
        <w:rPr>
          <w:sz w:val="22"/>
          <w:szCs w:val="22"/>
          <w:vertAlign w:val="superscript"/>
        </w:rPr>
        <w:t>2+</w:t>
      </w:r>
      <w:r w:rsidR="00972F89" w:rsidRPr="00CC3DB5">
        <w:rPr>
          <w:sz w:val="22"/>
          <w:szCs w:val="22"/>
        </w:rPr>
        <w:t xml:space="preserve"> </w:t>
      </w:r>
      <w:r w:rsidRPr="00CC3DB5">
        <w:rPr>
          <w:sz w:val="22"/>
          <w:szCs w:val="22"/>
        </w:rPr>
        <w:t xml:space="preserve">channel openings are considered to trigger release events. Pruned by refractoriness, release events translate to action potentials in spiral ganglion neurons. The simulation shows that coupling through </w:t>
      </w:r>
      <w:r w:rsidR="000D786D" w:rsidRPr="00CC3DB5">
        <w:rPr>
          <w:sz w:val="22"/>
          <w:szCs w:val="22"/>
        </w:rPr>
        <w:t xml:space="preserve">25 </w:t>
      </w:r>
      <w:proofErr w:type="spellStart"/>
      <w:r w:rsidRPr="00CC3DB5">
        <w:rPr>
          <w:sz w:val="22"/>
          <w:szCs w:val="22"/>
        </w:rPr>
        <w:t>MOhm</w:t>
      </w:r>
      <w:proofErr w:type="spellEnd"/>
      <w:r w:rsidRPr="00CC3DB5">
        <w:rPr>
          <w:sz w:val="22"/>
          <w:szCs w:val="22"/>
        </w:rPr>
        <w:t xml:space="preserve"> junctions strongly increases the </w:t>
      </w:r>
      <w:r w:rsidRPr="00CC3DB5">
        <w:rPr>
          <w:sz w:val="22"/>
          <w:szCs w:val="22"/>
        </w:rPr>
        <w:lastRenderedPageBreak/>
        <w:t>correlations between the auditory input and the voltage in the coupled IHCs and also the correlations the release events (</w:t>
      </w:r>
      <w:r w:rsidR="00154772" w:rsidRPr="00CC3DB5">
        <w:rPr>
          <w:sz w:val="22"/>
          <w:szCs w:val="22"/>
        </w:rPr>
        <w:t>F</w:t>
      </w:r>
      <w:r w:rsidRPr="00CC3DB5">
        <w:rPr>
          <w:sz w:val="22"/>
          <w:szCs w:val="22"/>
        </w:rPr>
        <w:t xml:space="preserve">ig. </w:t>
      </w:r>
      <w:r w:rsidR="00382735" w:rsidRPr="00CC3DB5">
        <w:rPr>
          <w:sz w:val="22"/>
          <w:szCs w:val="22"/>
        </w:rPr>
        <w:t>8</w:t>
      </w:r>
      <w:r w:rsidRPr="00CC3DB5">
        <w:rPr>
          <w:sz w:val="22"/>
          <w:szCs w:val="22"/>
        </w:rPr>
        <w:t xml:space="preserve">).  </w:t>
      </w:r>
    </w:p>
    <w:p w14:paraId="647582AC" w14:textId="77777777" w:rsidR="0057493F" w:rsidRPr="00CC3DB5" w:rsidRDefault="0057493F" w:rsidP="0057493F">
      <w:pPr>
        <w:spacing w:line="240" w:lineRule="auto"/>
        <w:rPr>
          <w:b/>
          <w:sz w:val="22"/>
          <w:szCs w:val="22"/>
        </w:rPr>
      </w:pPr>
    </w:p>
    <w:p w14:paraId="0B4EADFD" w14:textId="79A637EA" w:rsidR="0057493F" w:rsidRPr="00CC3DB5" w:rsidRDefault="0096640C" w:rsidP="0057493F">
      <w:pPr>
        <w:rPr>
          <w:b/>
          <w:sz w:val="22"/>
          <w:szCs w:val="22"/>
        </w:rPr>
      </w:pPr>
      <w:r w:rsidRPr="00CC3DB5">
        <w:rPr>
          <w:b/>
          <w:sz w:val="22"/>
          <w:szCs w:val="22"/>
        </w:rPr>
        <w:t>Coincidence detection</w:t>
      </w:r>
    </w:p>
    <w:p w14:paraId="40A0120B" w14:textId="6BC1CADE" w:rsidR="00D54E35" w:rsidRPr="00CC3DB5" w:rsidRDefault="0096640C" w:rsidP="0057493F">
      <w:pPr>
        <w:pStyle w:val="NormalWeb"/>
        <w:spacing w:before="0" w:beforeAutospacing="0" w:after="0" w:afterAutospacing="0" w:line="480" w:lineRule="auto"/>
        <w:jc w:val="both"/>
        <w:rPr>
          <w:sz w:val="22"/>
          <w:szCs w:val="22"/>
        </w:rPr>
      </w:pPr>
      <w:r w:rsidRPr="00CC3DB5">
        <w:rPr>
          <w:sz w:val="22"/>
          <w:szCs w:val="22"/>
        </w:rPr>
        <w:t xml:space="preserve">Although the functional benefit of coupling is clear from the increased correlation between IHC input and SGN output, we wanted to take the analysis a step further in the auditory pathway. In the cochlear nucleus multiple </w:t>
      </w:r>
      <w:r w:rsidR="00606908" w:rsidRPr="00CC3DB5">
        <w:rPr>
          <w:sz w:val="22"/>
          <w:szCs w:val="22"/>
        </w:rPr>
        <w:t>SGNs</w:t>
      </w:r>
      <w:r w:rsidRPr="00CC3DB5">
        <w:rPr>
          <w:sz w:val="22"/>
          <w:szCs w:val="22"/>
        </w:rPr>
        <w:t xml:space="preserve"> contact each bushy cell, which only fires, if a sufficient number of </w:t>
      </w:r>
      <w:proofErr w:type="spellStart"/>
      <w:r w:rsidRPr="00CC3DB5">
        <w:rPr>
          <w:sz w:val="22"/>
          <w:szCs w:val="22"/>
        </w:rPr>
        <w:t>fibers</w:t>
      </w:r>
      <w:proofErr w:type="spellEnd"/>
      <w:r w:rsidRPr="00CC3DB5">
        <w:rPr>
          <w:sz w:val="22"/>
          <w:szCs w:val="22"/>
        </w:rPr>
        <w:t xml:space="preserve"> is firing coincidently within a narrow time window. For example, bushy cells in the anteroventral cochlear nucleus fire an action potential, when a number of </w:t>
      </w:r>
      <w:r w:rsidR="00606908" w:rsidRPr="00CC3DB5">
        <w:rPr>
          <w:sz w:val="22"/>
          <w:szCs w:val="22"/>
        </w:rPr>
        <w:t>SGNs</w:t>
      </w:r>
      <w:r w:rsidRPr="00CC3DB5">
        <w:rPr>
          <w:sz w:val="22"/>
          <w:szCs w:val="22"/>
        </w:rPr>
        <w:t xml:space="preserve"> fire action potentials within a short coincidence window and, as a result, show improved precision of spike timing when compared to the spiral ganglion neurons </w:t>
      </w:r>
      <w:r w:rsidRPr="00CC3DB5">
        <w:rPr>
          <w:sz w:val="22"/>
          <w:szCs w:val="22"/>
        </w:rPr>
        <w:fldChar w:fldCharType="begin"/>
      </w:r>
      <w:r w:rsidR="00ED72E6" w:rsidRPr="00CC3DB5">
        <w:rPr>
          <w:sz w:val="22"/>
          <w:szCs w:val="22"/>
        </w:rPr>
        <w:instrText xml:space="preserve"> ADDIN ZOTERO_ITEM CSL_CITATION {"citationID":"a26f82rrgmo","properties":{"formattedCitation":"({\\i{}27}, {\\i{}28})","plainCitation":"(27, 28)","noteIndex":0},"citationItems":[{"id":3811,"uris":["http://zotero.org/users/598743/items/9RK9PBJP"],"uri":["http://zotero.org/users/598743/items/9RK9PBJP"],"itemData":{"id":3811,"type":"article-journal","abstract":"1. Discharges of neurons in the peripheral auditory system contain information about the temporal features of acoustic stimuli. Phase-locking of neurons in the anteroventral cochlear nucleus (AVCN) is usually reported to be less robust than in auditory nerve (AN) fibers, which provide their major input. In a companion paper we reported that some cells in AVCN of the cat show enhanced phase-locking compared with the AN when stimulated at the frequency to which they are most sensitive [characteristic frequency (CF)]. We called neurons \"high-sync\" when they showed vector strengths (R, a measure of phase-locking) &gt; or = 0.9. Here we report phase-locking properties to stimuli at frequencies below CF. 2. Horseradish peroxidase-filled glass micropipettes or metal microelectrodes were inserted into the trapezoid body (TB), which is the large output tract of the AVCN. Acoustically driven fibers were classified on the basis of the shape of the poststimulus time (PST) histograms to short tone bursts at CF. We then presented low-frequency tones of increasing SPL and determined the maximum R value at 500 Hz (R500) for each fiber. Using the same experimental protocol we studied phase-locking in the ANs of two animals because maximal R values at the tuning curve tail have not been reported for AN fibers. 3. Although phase-locking in AN fibers is usually assumed to be independent of CF, we found that fibers with CF &gt; 2 kHz tended to have higher R500 values than fibers with CF &lt; or = 2 kHz. Moreover, R500 was &gt; or = 0.9 in 20% (42 of 196) of the fibers studied and could be as high as 0.95. This population of fibers was defined as having \"high-sync tails\" and consisted almost entirely of fibers with low or medium spontaneous rate. 4. High-CF TB fibers stimulated at 500 Hz showed very high phase-locking. High-sync tails (R500 &gt; or = 0.9) were found in 41 of 70 TB fibers. For a subset of these fibers (1/3 in total: 23 of 70) phase-locking was higher than is ever observed in the AN (R500 &gt; or = 0.95); these fibers were defined as showing synchronization \"enhancement.\" Virtually all fibers showing synchronization enhancement had primary-like-with-notch (PLN) PST histograms. Chopper and primary-like fibers showed high-sync tails for CFs &gt; 3 kHz. 5. Synchronization filter functions were obtained for high-CF AN fibers by determining maximum synchronization for a range of stimuli below CF.(ABSTRACT TRUNCATED AT 400 WORDS)","container-title":"Journal of neurophysiology","ISSN":"0022-3077","issue":"3","journalAbbreviation":"J. Neurophysiol.","note":"PMID: 8201400","page":"1037-1051","source":"NCBI PubMed","title":"Enhancement of neural synchronization in the anteroventral cochlear nucleus. II. Responses in the tuning curve tail","volume":"71","author":[{"family":"Joris","given":"P X"},{"family":"Smith","given":"P H"},{"family":"Yin","given":"T C"}],"issued":{"date-parts":[["1994",3]]}}},{"id":7422,"uris":["http://zotero.org/users/598743/items/SUGU8JAN"],"uri":["http://zotero.org/users/598743/items/SUGU8JAN"],"itemData":{"id":7422,"type":"article-journal","abstract":"Complexins (CPXs I–IV) presumably act as regulators of the SNARE (soluble N-ethylmaleimide-sensitive factor attachment protein receptor) complex, but their function in the intact mammalian nervous system is not well established. Here, we explored the role of CPXs in the mouse auditory system. Hearing was impaired in CPX I knock-out mice but normal in knock-out mice for CPXs II, III, IV, and III/IV as measured by auditory brainstem responses. Complexins were not detectable in cochlear hair cells but CPX I was expressed in spiral ganglion neurons (SGNs) that give rise to the auditory nerve. Ca2+-dependent exocytosis of inner hair cells and sound encoding by SGNs were unaffected in CPX I knock-out mice. In the absence of CPX I, the resting release probability in the endbulb of Held synapses of the auditory nerve fibers with bushy cells in the cochlear nucleus was reduced. As predicted by computational modeling, bushy cells had decreased spike rates at sound onset as well as longer and more variable first spike latencies explaining the abnormal auditory brainstem responses. In addition, we found synaptic transmission to outlast the stimulus at many endbulb of Held synapses in vitro and in vivo, suggesting impaired synchronization of release to stimulus offset. Although sound encoding in the cochlea proceeds in the absence of complexins, CPX I is required for faithful processing of sound onset and offset in the cochlear nucleus.","container-title":"The Journal of Neuroscience","DOI":"10.1523/JNEUROSCI.0632-09.2009","ISSN":"0270-6474, 1529-2401","issue":"25","journalAbbreviation":"J. Neurosci.","language":"en","page":"7991-8004","source":"www.jneurosci.org","title":"Complexin-I Is Required for High-Fidelity Transmission at the Endbulb of Held Auditory Synapse","volume":"29","author":[{"family":"Strenzke","given":"Nicola"},{"family":"Chanda","given":"Soham"},{"family":"Kopp-Scheinpflug","given":"Cornelia"},{"family":"Khimich","given":"Darina"},{"family":"Reim","given":"Kerstin"},{"family":"Bulankina","given":"Anna V."},{"family":"Neef","given":"Andreas"},{"family":"Wolf","given":"Fred"},{"family":"Brose","given":"Nils"},{"family":"Xu-Friedman","given":"Matthew A."},{"family":"Moser","given":"Tobias"}],"issued":{"date-parts":[["2009",6,24]]}}}],"schema":"https://github.com/citation-style-language/schema/raw/master/csl-citation.json"} </w:instrText>
      </w:r>
      <w:r w:rsidRPr="00CC3DB5">
        <w:rPr>
          <w:sz w:val="22"/>
          <w:szCs w:val="22"/>
        </w:rPr>
        <w:fldChar w:fldCharType="separate"/>
      </w:r>
      <w:r w:rsidR="00ED72E6" w:rsidRPr="00CC3DB5">
        <w:rPr>
          <w:rFonts w:eastAsia="Times New Roman"/>
          <w:sz w:val="22"/>
        </w:rPr>
        <w:t>(</w:t>
      </w:r>
      <w:r w:rsidR="00ED72E6" w:rsidRPr="00CC3DB5">
        <w:rPr>
          <w:rFonts w:eastAsia="Times New Roman"/>
          <w:i/>
          <w:iCs/>
          <w:sz w:val="22"/>
        </w:rPr>
        <w:t>27</w:t>
      </w:r>
      <w:r w:rsidR="00ED72E6" w:rsidRPr="00CC3DB5">
        <w:rPr>
          <w:rFonts w:eastAsia="Times New Roman"/>
          <w:sz w:val="22"/>
        </w:rPr>
        <w:t xml:space="preserve">, </w:t>
      </w:r>
      <w:r w:rsidR="00ED72E6" w:rsidRPr="00CC3DB5">
        <w:rPr>
          <w:rFonts w:eastAsia="Times New Roman"/>
          <w:i/>
          <w:iCs/>
          <w:sz w:val="22"/>
        </w:rPr>
        <w:t>28</w:t>
      </w:r>
      <w:r w:rsidR="00ED72E6" w:rsidRPr="00CC3DB5">
        <w:rPr>
          <w:rFonts w:eastAsia="Times New Roman"/>
          <w:sz w:val="22"/>
        </w:rPr>
        <w:t>)</w:t>
      </w:r>
      <w:r w:rsidRPr="00CC3DB5">
        <w:rPr>
          <w:sz w:val="22"/>
          <w:szCs w:val="22"/>
        </w:rPr>
        <w:fldChar w:fldCharType="end"/>
      </w:r>
      <w:r w:rsidRPr="00CC3DB5">
        <w:rPr>
          <w:sz w:val="22"/>
          <w:szCs w:val="22"/>
        </w:rPr>
        <w:t xml:space="preserve">. Each bushy cells receive multiple inputs of </w:t>
      </w:r>
      <w:r w:rsidR="00F163EF" w:rsidRPr="00CC3DB5">
        <w:rPr>
          <w:sz w:val="22"/>
          <w:szCs w:val="22"/>
        </w:rPr>
        <w:t>SGNs</w:t>
      </w:r>
      <w:r w:rsidRPr="00CC3DB5">
        <w:rPr>
          <w:sz w:val="22"/>
          <w:szCs w:val="22"/>
        </w:rPr>
        <w:t xml:space="preserve"> with similar characteristic frequency and spontaneous firing rate </w:t>
      </w:r>
      <w:r w:rsidRPr="00CC3DB5">
        <w:rPr>
          <w:sz w:val="22"/>
          <w:szCs w:val="22"/>
        </w:rPr>
        <w:fldChar w:fldCharType="begin"/>
      </w:r>
      <w:r w:rsidR="00ED72E6" w:rsidRPr="00CC3DB5">
        <w:rPr>
          <w:sz w:val="22"/>
          <w:szCs w:val="22"/>
        </w:rPr>
        <w:instrText xml:space="preserve"> ADDIN ZOTERO_ITEM CSL_CITATION {"citationID":"a2dutkmqb3k","properties":{"formattedCitation":"({\\i{}29})","plainCitation":"(29)","noteIndex":0},"citationItems":[{"id":7049,"uris":["http://zotero.org/users/598743/items/RE9F7IUI"],"uri":["http://zotero.org/users/598743/items/RE9F7IUI"],"itemData":{"id":7049,"type":"article-journal","abstract":"Auditory nerve fibers have been subdivided into three functional groups (Liberman, M.C. [1978] J. Acoust. Soc. Am. 63:442-455) differing in acoustic sensitivity and spontaneous discharge rate (SR). Using intracellular injection of horseradish peroxidase, the present study analyzes the projections of these three neuronal subclasses to the various subdivisions of the anteroventral cochlear nucleus (AVCN) and to the different cell types found therein. The average number of swellings and number of cells contacted decreased from low- to medium- to high-SR groups. However, these differences in terminal elaboration were not evenly distributed throughout the AVCN. The small cell cap was almost exclusively innervated by low- and medium-SR fibers, i.e., those with the highest acoustic thresholds. Within anterior AVCN, spherical-cell innervation was seen from all SR groups, whereas almost all multipolar cell innervation was from low- and medium-SR fibers. In the posterior AVCN, multipolar-cell innervation was equally likely from all SR groups, whereas globular cells were preferentially contacted by high-SR fibers. These SR-based trends in cochlear nucleus innervation help explain some of the known physiological properties of cell-types in each subdivision. They also suggest that additional physiological study of the small cell cap may be key in elucidating the functional significance of the low-SR population.","container-title":"The Journal of comparative neurology","DOI":"10.1002/cne.903130205","ISSN":"0021-9967","issue":"2","journalAbbreviation":"J. Comp. Neurol.","note":"PMID: 1722487","page":"240-258","source":"NCBI PubMed","title":"Central projections of auditory-nerve fibers of differing spontaneous rate. I. Anteroventral cochlear nucleus","volume":"313","author":[{"family":"Liberman","given":"M C"}],"issued":{"date-parts":[["1991",11,8]]}}}],"schema":"https://github.com/citation-style-language/schema/raw/master/csl-citation.json"} </w:instrText>
      </w:r>
      <w:r w:rsidRPr="00CC3DB5">
        <w:rPr>
          <w:sz w:val="22"/>
          <w:szCs w:val="22"/>
        </w:rPr>
        <w:fldChar w:fldCharType="separate"/>
      </w:r>
      <w:r w:rsidR="00ED72E6" w:rsidRPr="00CC3DB5">
        <w:rPr>
          <w:rFonts w:eastAsia="Times New Roman"/>
          <w:sz w:val="22"/>
        </w:rPr>
        <w:t>(</w:t>
      </w:r>
      <w:r w:rsidR="00ED72E6" w:rsidRPr="00CC3DB5">
        <w:rPr>
          <w:rFonts w:eastAsia="Times New Roman"/>
          <w:i/>
          <w:iCs/>
          <w:sz w:val="22"/>
        </w:rPr>
        <w:t>29</w:t>
      </w:r>
      <w:r w:rsidR="00ED72E6" w:rsidRPr="00CC3DB5">
        <w:rPr>
          <w:rFonts w:eastAsia="Times New Roman"/>
          <w:sz w:val="22"/>
        </w:rPr>
        <w:t>)</w:t>
      </w:r>
      <w:r w:rsidRPr="00CC3DB5">
        <w:rPr>
          <w:sz w:val="22"/>
          <w:szCs w:val="22"/>
        </w:rPr>
        <w:fldChar w:fldCharType="end"/>
      </w:r>
      <w:r w:rsidRPr="00CC3DB5">
        <w:rPr>
          <w:sz w:val="22"/>
          <w:szCs w:val="22"/>
        </w:rPr>
        <w:t xml:space="preserve">, which allows us to use one parameter set to simulate such a set of incoming action potential times. The number of coincidences required depends on the bushy cell type and species. It is considered to range from a few fibres up to 20 or even more. The coincidence window has no fixed width, it depends on the activity status, i.e. the depolarization history of the bushy cell </w:t>
      </w:r>
      <w:r w:rsidRPr="00CC3DB5">
        <w:rPr>
          <w:sz w:val="22"/>
          <w:szCs w:val="22"/>
        </w:rPr>
        <w:fldChar w:fldCharType="begin"/>
      </w:r>
      <w:r w:rsidR="00ED72E6" w:rsidRPr="00CC3DB5">
        <w:rPr>
          <w:sz w:val="22"/>
          <w:szCs w:val="22"/>
        </w:rPr>
        <w:instrText xml:space="preserve"> ADDIN ZOTERO_ITEM CSL_CITATION {"citationID":"z49BP9vt","properties":{"formattedCitation":"({\\i{}30})","plainCitation":"(30)","noteIndex":0},"citationItems":[{"id":14998,"uris":["http://zotero.org/users/598743/items/XSN2PGFU"],"uri":["http://zotero.org/users/598743/items/XSN2PGFU"],"itemData":{"id":14998,"type":"article-journal","abstract":"Auditory nerve fibers encode sounds in the precise timing of action potentials (APs), which is used for such computations as sound localization. Timing information is relayed through several cell types in the auditory brainstem that share an unusual property: their APs are not overshooting, suggesting that the cells have very low somatic sodium conductance (gNa). However, it is not clear how gNa influences temporal precision. We addressed this by comparing bushy cells (BCs) in the mouse cochlear nucleus with T-stellate cells (SCs), which do have normal overshooting APs. BCs play a central role in both relaying and refining precise timing information from the auditory nerve, whereas SCs discard precise timing information and encode the envelope of sound amplitude. Nucleated-patch recording at near-physiological temperature indicated that the Na current density was 62% lower in BCs, and the voltage dependence of gNa inactivation was 13 mV hyperpolarized compared with SCs. We endowed BCs with SC-like gNa using two-electrode dynamic clamp and found that synaptic activity at physiologically relevant rates elicited APs with significantly lower probability, through increased activation of delayed rectifier channels. In addition, for two near-simultaneous synaptic inputs, the window of coincidence detection widened significantly with increasing gNa, indicating that refinement of temporal information by BCs is degraded by gNa. Thus, reduced somatic gNa appears to be an adaption for enhancing fidelity and precision in time-coding neurons.\nSIGNIFICANCE STATEMENT Proper hearing depends on analyzing temporal aspects of sounds with high precision. Auditory neurons that specialize in precise temporal information have a suite of unusual intrinsic properties, including nonovershooting action potentials and few sodium channels in the soma. However, it was not clear how low sodium channel availability in the soma influenced the temporal precision of action potentials initiated in the axon initial segment. We studied this using dynamic clamp to mimic sodium channels in the soma, which yielded normal, overshooting action potentials. Increasing somatic sodium conductance had major negative consequences: synaptic activity evoked action potentials with lower fidelity, and the precision of coincidence detection was degraded. Thus, low somatic sodium channel availability appears to enhance fidelity and temporal precision.","container-title":"Journal of Neuroscience","DOI":"10.1523/JNEUROSCI.1475-16.2016","ISSN":"0270-6474, 1529-2401","issue":"47","journalAbbreviation":"J. Neurosci.","language":"en","note":"PMID: 27881784","page":"11999-12009","source":"www.jneurosci.org","title":"Low Somatic Sodium Conductance Enhances Action Potential Precision in Time-Coding Auditory Neurons","volume":"36","author":[{"family":"Yang","given":"Yang"},{"family":"Ramamurthy","given":"Bina"},{"family":"Neef","given":"Andreas"},{"family":"Xu-Friedman","given":"Matthew A."}],"issued":{"date-parts":[["2016",11,23]]}}}],"schema":"https://github.com/citation-style-language/schema/raw/master/csl-citation.json"} </w:instrText>
      </w:r>
      <w:r w:rsidRPr="00CC3DB5">
        <w:rPr>
          <w:sz w:val="22"/>
          <w:szCs w:val="22"/>
        </w:rPr>
        <w:fldChar w:fldCharType="separate"/>
      </w:r>
      <w:r w:rsidR="00ED72E6" w:rsidRPr="00CC3DB5">
        <w:rPr>
          <w:rFonts w:eastAsia="Times New Roman"/>
          <w:sz w:val="22"/>
        </w:rPr>
        <w:t>(</w:t>
      </w:r>
      <w:r w:rsidR="00ED72E6" w:rsidRPr="00CC3DB5">
        <w:rPr>
          <w:rFonts w:eastAsia="Times New Roman"/>
          <w:i/>
          <w:iCs/>
          <w:sz w:val="22"/>
        </w:rPr>
        <w:t>30</w:t>
      </w:r>
      <w:r w:rsidR="00ED72E6" w:rsidRPr="00CC3DB5">
        <w:rPr>
          <w:rFonts w:eastAsia="Times New Roman"/>
          <w:sz w:val="22"/>
        </w:rPr>
        <w:t>)</w:t>
      </w:r>
      <w:r w:rsidRPr="00CC3DB5">
        <w:rPr>
          <w:sz w:val="22"/>
          <w:szCs w:val="22"/>
        </w:rPr>
        <w:fldChar w:fldCharType="end"/>
      </w:r>
      <w:r w:rsidRPr="00CC3DB5">
        <w:rPr>
          <w:sz w:val="22"/>
          <w:szCs w:val="22"/>
        </w:rPr>
        <w:t xml:space="preserve">. Typical bushy cell membrane time constants and spike jitter </w:t>
      </w:r>
      <w:r w:rsidRPr="00CC3DB5">
        <w:rPr>
          <w:sz w:val="22"/>
          <w:szCs w:val="22"/>
        </w:rPr>
        <w:fldChar w:fldCharType="begin"/>
      </w:r>
      <w:r w:rsidR="00ED72E6" w:rsidRPr="00CC3DB5">
        <w:rPr>
          <w:sz w:val="22"/>
          <w:szCs w:val="22"/>
        </w:rPr>
        <w:instrText xml:space="preserve"> ADDIN ZOTERO_ITEM CSL_CITATION {"citationID":"aDXBklbQ","properties":{"formattedCitation":"({\\i{}28})","plainCitation":"(28)","noteIndex":0},"citationItems":[{"id":7422,"uris":["http://zotero.org/users/598743/items/SUGU8JAN"],"uri":["http://zotero.org/users/598743/items/SUGU8JAN"],"itemData":{"id":7422,"type":"article-journal","abstract":"Complexins (CPXs I–IV) presumably act as regulators of the SNARE (soluble N-ethylmaleimide-sensitive factor attachment protein receptor) complex, but their function in the intact mammalian nervous system is not well established. Here, we explored the role of CPXs in the mouse auditory system. Hearing was impaired in CPX I knock-out mice but normal in knock-out mice for CPXs II, III, IV, and III/IV as measured by auditory brainstem responses. Complexins were not detectable in cochlear hair cells but CPX I was expressed in spiral ganglion neurons (SGNs) that give rise to the auditory nerve. Ca2+-dependent exocytosis of inner hair cells and sound encoding by SGNs were unaffected in CPX I knock-out mice. In the absence of CPX I, the resting release probability in the endbulb of Held synapses of the auditory nerve fibers with bushy cells in the cochlear nucleus was reduced. As predicted by computational modeling, bushy cells had decreased spike rates at sound onset as well as longer and more variable first spike latencies explaining the abnormal auditory brainstem responses. In addition, we found synaptic transmission to outlast the stimulus at many endbulb of Held synapses in vitro and in vivo, suggesting impaired synchronization of release to stimulus offset. Although sound encoding in the cochlea proceeds in the absence of complexins, CPX I is required for faithful processing of sound onset and offset in the cochlear nucleus.","container-title":"The Journal of Neuroscience","DOI":"10.1523/JNEUROSCI.0632-09.2009","ISSN":"0270-6474, 1529-2401","issue":"25","journalAbbreviation":"J. Neurosci.","language":"en","page":"7991-8004","source":"www.jneurosci.org","title":"Complexin-I Is Required for High-Fidelity Transmission at the Endbulb of Held Auditory Synapse","volume":"29","author":[{"family":"Strenzke","given":"Nicola"},{"family":"Chanda","given":"Soham"},{"family":"Kopp-Scheinpflug","given":"Cornelia"},{"family":"Khimich","given":"Darina"},{"family":"Reim","given":"Kerstin"},{"family":"Bulankina","given":"Anna V."},{"family":"Neef","given":"Andreas"},{"family":"Wolf","given":"Fred"},{"family":"Brose","given":"Nils"},{"family":"Xu-Friedman","given":"Matthew A."},{"family":"Moser","given":"Tobias"}],"issued":{"date-parts":[["2009",6,24]]}}}],"schema":"https://github.com/citation-style-language/schema/raw/master/csl-citation.json"} </w:instrText>
      </w:r>
      <w:r w:rsidRPr="00CC3DB5">
        <w:rPr>
          <w:sz w:val="22"/>
          <w:szCs w:val="22"/>
        </w:rPr>
        <w:fldChar w:fldCharType="separate"/>
      </w:r>
      <w:r w:rsidR="00ED72E6" w:rsidRPr="00CC3DB5">
        <w:rPr>
          <w:rFonts w:eastAsia="Times New Roman"/>
          <w:sz w:val="22"/>
        </w:rPr>
        <w:t>(</w:t>
      </w:r>
      <w:r w:rsidR="00ED72E6" w:rsidRPr="00CC3DB5">
        <w:rPr>
          <w:rFonts w:eastAsia="Times New Roman"/>
          <w:i/>
          <w:iCs/>
          <w:sz w:val="22"/>
        </w:rPr>
        <w:t>28</w:t>
      </w:r>
      <w:r w:rsidR="00ED72E6" w:rsidRPr="00CC3DB5">
        <w:rPr>
          <w:rFonts w:eastAsia="Times New Roman"/>
          <w:sz w:val="22"/>
        </w:rPr>
        <w:t>)</w:t>
      </w:r>
      <w:r w:rsidRPr="00CC3DB5">
        <w:rPr>
          <w:sz w:val="22"/>
          <w:szCs w:val="22"/>
        </w:rPr>
        <w:fldChar w:fldCharType="end"/>
      </w:r>
      <w:r w:rsidRPr="00CC3DB5">
        <w:rPr>
          <w:sz w:val="22"/>
          <w:szCs w:val="22"/>
        </w:rPr>
        <w:t xml:space="preserve"> suggest coincidence window times of 50 to 200 µs. We find that different assumptions about this coincidence window had no impact on the outcome of the model (as described below) at the cochlear nucleus</w:t>
      </w:r>
      <w:r w:rsidR="00F163EF" w:rsidRPr="00CC3DB5">
        <w:rPr>
          <w:sz w:val="22"/>
          <w:szCs w:val="22"/>
        </w:rPr>
        <w:t xml:space="preserve"> (CN)</w:t>
      </w:r>
      <w:r w:rsidRPr="00CC3DB5">
        <w:rPr>
          <w:sz w:val="22"/>
          <w:szCs w:val="22"/>
        </w:rPr>
        <w:t xml:space="preserve"> because the bandwidth of signals from the IHC is already restricted by the IHC membrane time constant and the rise time of the Ca</w:t>
      </w:r>
      <w:r w:rsidRPr="00CC3DB5">
        <w:rPr>
          <w:sz w:val="22"/>
          <w:szCs w:val="22"/>
          <w:vertAlign w:val="superscript"/>
        </w:rPr>
        <w:t>2+</w:t>
      </w:r>
      <w:r w:rsidR="00D54E35" w:rsidRPr="00CC3DB5">
        <w:rPr>
          <w:sz w:val="22"/>
          <w:szCs w:val="22"/>
        </w:rPr>
        <w:t xml:space="preserve"> currents. </w:t>
      </w:r>
    </w:p>
    <w:p w14:paraId="74843D68" w14:textId="44A8F511" w:rsidR="0096640C" w:rsidRPr="00CC3DB5" w:rsidRDefault="0096640C" w:rsidP="00D54E35">
      <w:pPr>
        <w:pStyle w:val="NormalWeb"/>
        <w:spacing w:before="0" w:beforeAutospacing="0" w:after="0" w:afterAutospacing="0" w:line="480" w:lineRule="auto"/>
        <w:ind w:firstLine="720"/>
        <w:jc w:val="both"/>
        <w:rPr>
          <w:sz w:val="22"/>
          <w:szCs w:val="22"/>
        </w:rPr>
      </w:pPr>
      <w:r w:rsidRPr="00CC3DB5">
        <w:rPr>
          <w:sz w:val="22"/>
          <w:szCs w:val="22"/>
        </w:rPr>
        <w:t xml:space="preserve">The probability of two coincident action potentials from two </w:t>
      </w:r>
      <w:r w:rsidR="00606908" w:rsidRPr="00CC3DB5">
        <w:rPr>
          <w:sz w:val="22"/>
          <w:szCs w:val="22"/>
        </w:rPr>
        <w:t>SGNs</w:t>
      </w:r>
      <w:r w:rsidRPr="00CC3DB5">
        <w:rPr>
          <w:sz w:val="22"/>
          <w:szCs w:val="22"/>
        </w:rPr>
        <w:t xml:space="preserve"> within a 200 µs coincidence window simply corresponds to the product of the individual firing probabilities (</w:t>
      </w:r>
      <w:r w:rsidR="007C4BE3" w:rsidRPr="00CC3DB5">
        <w:rPr>
          <w:sz w:val="22"/>
          <w:szCs w:val="22"/>
        </w:rPr>
        <w:t>Fig</w:t>
      </w:r>
      <w:r w:rsidRPr="00CC3DB5">
        <w:rPr>
          <w:sz w:val="22"/>
          <w:szCs w:val="22"/>
        </w:rPr>
        <w:t xml:space="preserve">. </w:t>
      </w:r>
      <w:r w:rsidR="00333430" w:rsidRPr="00CC3DB5">
        <w:rPr>
          <w:sz w:val="22"/>
          <w:szCs w:val="22"/>
        </w:rPr>
        <w:t>S12</w:t>
      </w:r>
      <w:r w:rsidRPr="00CC3DB5">
        <w:rPr>
          <w:sz w:val="22"/>
          <w:szCs w:val="22"/>
        </w:rPr>
        <w:t xml:space="preserve">). The average value of this product depends on the origin of the signals of the </w:t>
      </w:r>
      <w:r w:rsidR="00F163EF" w:rsidRPr="00CC3DB5">
        <w:rPr>
          <w:sz w:val="22"/>
          <w:szCs w:val="22"/>
        </w:rPr>
        <w:t>SGNs</w:t>
      </w:r>
      <w:r w:rsidRPr="00CC3DB5">
        <w:rPr>
          <w:sz w:val="22"/>
          <w:szCs w:val="22"/>
        </w:rPr>
        <w:t>. If they received input from two synapses of the same IHC, coincid</w:t>
      </w:r>
      <w:r w:rsidR="00D54E35" w:rsidRPr="00CC3DB5">
        <w:rPr>
          <w:sz w:val="22"/>
          <w:szCs w:val="22"/>
        </w:rPr>
        <w:t xml:space="preserve">ences are slightly more likely. </w:t>
      </w:r>
      <w:r w:rsidRPr="00CC3DB5">
        <w:rPr>
          <w:sz w:val="22"/>
          <w:szCs w:val="22"/>
        </w:rPr>
        <w:t xml:space="preserve">To our knowledge, there is no information yet about the precise connectivity between </w:t>
      </w:r>
      <w:r w:rsidR="00F163EF" w:rsidRPr="00CC3DB5">
        <w:rPr>
          <w:sz w:val="22"/>
          <w:szCs w:val="22"/>
        </w:rPr>
        <w:t>IHCs</w:t>
      </w:r>
      <w:r w:rsidRPr="00CC3DB5">
        <w:rPr>
          <w:sz w:val="22"/>
          <w:szCs w:val="22"/>
        </w:rPr>
        <w:t xml:space="preserve"> and bushy cells. We studied two different configurations in which </w:t>
      </w:r>
      <w:r w:rsidR="00D54E35" w:rsidRPr="00CC3DB5">
        <w:rPr>
          <w:sz w:val="22"/>
          <w:szCs w:val="22"/>
        </w:rPr>
        <w:t>six</w:t>
      </w:r>
      <w:r w:rsidRPr="00CC3DB5">
        <w:rPr>
          <w:sz w:val="22"/>
          <w:szCs w:val="22"/>
        </w:rPr>
        <w:t xml:space="preserve"> </w:t>
      </w:r>
      <w:r w:rsidR="00D54E35" w:rsidRPr="00CC3DB5">
        <w:rPr>
          <w:sz w:val="22"/>
          <w:szCs w:val="22"/>
        </w:rPr>
        <w:t>SGNs</w:t>
      </w:r>
      <w:r w:rsidRPr="00CC3DB5">
        <w:rPr>
          <w:sz w:val="22"/>
          <w:szCs w:val="22"/>
        </w:rPr>
        <w:t xml:space="preserve"> converge onto a bushy cell, where the coincidences are detected. In the first configuration, three IHCs provide two </w:t>
      </w:r>
      <w:r w:rsidR="00D54E35" w:rsidRPr="00CC3DB5">
        <w:rPr>
          <w:sz w:val="22"/>
          <w:szCs w:val="22"/>
        </w:rPr>
        <w:t>SGN</w:t>
      </w:r>
      <w:r w:rsidRPr="00CC3DB5">
        <w:rPr>
          <w:sz w:val="22"/>
          <w:szCs w:val="22"/>
        </w:rPr>
        <w:t xml:space="preserve"> inputs each. In the second configuration, each of the six </w:t>
      </w:r>
      <w:r w:rsidR="00D54E35" w:rsidRPr="00CC3DB5">
        <w:rPr>
          <w:sz w:val="22"/>
          <w:szCs w:val="22"/>
        </w:rPr>
        <w:t>SGNs</w:t>
      </w:r>
      <w:r w:rsidRPr="00CC3DB5">
        <w:rPr>
          <w:sz w:val="22"/>
          <w:szCs w:val="22"/>
        </w:rPr>
        <w:t xml:space="preserve"> originates at a different </w:t>
      </w:r>
      <w:r w:rsidR="00D54E35" w:rsidRPr="00CC3DB5">
        <w:rPr>
          <w:sz w:val="22"/>
          <w:szCs w:val="22"/>
        </w:rPr>
        <w:t>IHC</w:t>
      </w:r>
      <w:r w:rsidRPr="00CC3DB5">
        <w:rPr>
          <w:sz w:val="22"/>
          <w:szCs w:val="22"/>
        </w:rPr>
        <w:t xml:space="preserve">. In each case, we studied two </w:t>
      </w:r>
      <w:r w:rsidRPr="00CC3DB5">
        <w:rPr>
          <w:sz w:val="22"/>
          <w:szCs w:val="22"/>
        </w:rPr>
        <w:lastRenderedPageBreak/>
        <w:t>possibilities: either all three</w:t>
      </w:r>
      <w:r w:rsidR="00D54E35" w:rsidRPr="00CC3DB5">
        <w:rPr>
          <w:sz w:val="22"/>
          <w:szCs w:val="22"/>
        </w:rPr>
        <w:t>/six</w:t>
      </w:r>
      <w:r w:rsidRPr="00CC3DB5">
        <w:rPr>
          <w:sz w:val="22"/>
          <w:szCs w:val="22"/>
        </w:rPr>
        <w:t xml:space="preserve"> IHC</w:t>
      </w:r>
      <w:r w:rsidR="00D54E35" w:rsidRPr="00CC3DB5">
        <w:rPr>
          <w:sz w:val="22"/>
          <w:szCs w:val="22"/>
        </w:rPr>
        <w:t>s are non-coupled or all three/six</w:t>
      </w:r>
      <w:r w:rsidRPr="00CC3DB5">
        <w:rPr>
          <w:sz w:val="22"/>
          <w:szCs w:val="22"/>
        </w:rPr>
        <w:t xml:space="preserve"> IHCs are coupled with each other. </w:t>
      </w:r>
    </w:p>
    <w:p w14:paraId="1034C43B" w14:textId="613D744D" w:rsidR="0096640C" w:rsidRPr="00CC3DB5" w:rsidRDefault="0096640C" w:rsidP="0057493F">
      <w:pPr>
        <w:pStyle w:val="NormalWeb"/>
        <w:spacing w:before="0" w:beforeAutospacing="0" w:after="0" w:afterAutospacing="0" w:line="480" w:lineRule="auto"/>
        <w:ind w:firstLine="720"/>
        <w:jc w:val="both"/>
        <w:rPr>
          <w:sz w:val="22"/>
          <w:szCs w:val="22"/>
        </w:rPr>
      </w:pPr>
      <w:r w:rsidRPr="00CC3DB5">
        <w:rPr>
          <w:sz w:val="22"/>
          <w:szCs w:val="22"/>
        </w:rPr>
        <w:t xml:space="preserve">For relatively weak stimuli (25 nm deflections), which one could consider close to threshold, we find typically that IHC coupling causes a subtle increase of around 2% in the coincidence rate for the three IHCs configuration and of 3% for the six IHC configuration. Interestingly, at very small mechanical stimuli, 2 nm sinusoidal deflection, when the correlation between the stimulus and the mechanotransducer signal drops below 0.06, the coupling between IHC does not cause an increase, but rather a small (1%) decrease in the coincidence rate. When the mechanotransducer channels open mostly unrelated to the stimulus, the averaging across coupled </w:t>
      </w:r>
      <w:r w:rsidR="00D54E35" w:rsidRPr="00CC3DB5">
        <w:rPr>
          <w:sz w:val="22"/>
          <w:szCs w:val="22"/>
        </w:rPr>
        <w:t>IHCs</w:t>
      </w:r>
      <w:r w:rsidRPr="00CC3DB5">
        <w:rPr>
          <w:sz w:val="22"/>
          <w:szCs w:val="22"/>
        </w:rPr>
        <w:t xml:space="preserve"> reduces the impact of the spurious channel openings on the coincidence rate. Together, the slight reduction at subthreshold stimuli and the slight increase at weak, supra-threshold inputs, serves to suppress thermal noise of the mechanotransduction by a slight increase of the detection threshold, i.e. the stimulus intensity, at which the coincidence rate crosses a certain threshold. This small effect size of a few percent, resulting from our simulations, is not unexpected given the identical mechanical input to the </w:t>
      </w:r>
      <w:proofErr w:type="spellStart"/>
      <w:r w:rsidRPr="00CC3DB5">
        <w:rPr>
          <w:sz w:val="22"/>
          <w:szCs w:val="22"/>
        </w:rPr>
        <w:t>neighboring</w:t>
      </w:r>
      <w:proofErr w:type="spellEnd"/>
      <w:r w:rsidRPr="00CC3DB5">
        <w:rPr>
          <w:sz w:val="22"/>
          <w:szCs w:val="22"/>
        </w:rPr>
        <w:t xml:space="preserve"> IHCs. It can be expected to increase, if </w:t>
      </w:r>
      <w:r w:rsidR="00EA4B10" w:rsidRPr="00CC3DB5">
        <w:rPr>
          <w:sz w:val="22"/>
          <w:szCs w:val="22"/>
        </w:rPr>
        <w:t>basolateral K</w:t>
      </w:r>
      <w:r w:rsidR="00EA4B10" w:rsidRPr="00CC3DB5">
        <w:rPr>
          <w:sz w:val="22"/>
          <w:szCs w:val="22"/>
          <w:vertAlign w:val="superscript"/>
        </w:rPr>
        <w:t>+</w:t>
      </w:r>
      <w:r w:rsidR="00CE4670">
        <w:rPr>
          <w:sz w:val="22"/>
          <w:szCs w:val="22"/>
        </w:rPr>
        <w:t xml:space="preserve"> </w:t>
      </w:r>
      <w:r w:rsidR="00EA4B10" w:rsidRPr="00CC3DB5">
        <w:rPr>
          <w:sz w:val="22"/>
          <w:szCs w:val="22"/>
        </w:rPr>
        <w:t>channels</w:t>
      </w:r>
      <w:r w:rsidRPr="00CC3DB5">
        <w:rPr>
          <w:sz w:val="22"/>
          <w:szCs w:val="22"/>
        </w:rPr>
        <w:t xml:space="preserve"> were added to the simulation of IHC conductances. These adaptation currents would provide a high-pass filter that reduces the average voltage and thereby increases the ratio between voltage modulation and signal average. The simulations presented here are kept deliberately simple to illustrate the essence of the coupling effect: a reduction in the noise contributions from the limited number of mechanotransducer channels.</w:t>
      </w:r>
    </w:p>
    <w:p w14:paraId="5358D23D" w14:textId="77777777" w:rsidR="0096640C" w:rsidRPr="00CC3DB5" w:rsidRDefault="0096640C" w:rsidP="0096640C">
      <w:pPr>
        <w:pStyle w:val="NormalWeb"/>
        <w:spacing w:before="0" w:beforeAutospacing="0" w:after="0" w:afterAutospacing="0"/>
        <w:jc w:val="both"/>
        <w:rPr>
          <w:rFonts w:asciiTheme="minorHAnsi" w:hAnsiTheme="minorHAnsi"/>
          <w:sz w:val="22"/>
          <w:szCs w:val="22"/>
        </w:rPr>
      </w:pPr>
    </w:p>
    <w:p w14:paraId="4F5D011B" w14:textId="77777777" w:rsidR="007D6714" w:rsidRPr="00CC3DB5" w:rsidRDefault="007D6714">
      <w:pPr>
        <w:spacing w:line="240" w:lineRule="auto"/>
        <w:rPr>
          <w:sz w:val="22"/>
        </w:rPr>
      </w:pPr>
    </w:p>
    <w:p w14:paraId="4587CDC0" w14:textId="059D0118" w:rsidR="00061B34" w:rsidRPr="00CC3DB5" w:rsidRDefault="00061B34">
      <w:pPr>
        <w:spacing w:line="240" w:lineRule="auto"/>
        <w:rPr>
          <w:i/>
          <w:sz w:val="22"/>
        </w:rPr>
      </w:pPr>
      <w:r w:rsidRPr="00CC3DB5">
        <w:rPr>
          <w:i/>
          <w:sz w:val="22"/>
        </w:rPr>
        <w:br w:type="page"/>
      </w:r>
    </w:p>
    <w:p w14:paraId="36C7EAD1" w14:textId="52E32BAC" w:rsidR="00C57A84" w:rsidRPr="00CC3DB5" w:rsidRDefault="000D5DA4" w:rsidP="7AA29AA8">
      <w:pPr>
        <w:spacing w:line="240" w:lineRule="auto"/>
        <w:jc w:val="both"/>
        <w:rPr>
          <w:b/>
          <w:bCs/>
          <w:sz w:val="22"/>
          <w:szCs w:val="22"/>
        </w:rPr>
      </w:pPr>
      <w:r w:rsidRPr="00CC3DB5">
        <w:rPr>
          <w:b/>
          <w:noProof/>
          <w:sz w:val="22"/>
          <w:lang w:eastAsia="en-GB"/>
        </w:rPr>
        <w:lastRenderedPageBreak/>
        <w:drawing>
          <wp:inline distT="0" distB="0" distL="0" distR="0" wp14:anchorId="3B394C6B" wp14:editId="69FC2922">
            <wp:extent cx="5764530" cy="2009775"/>
            <wp:effectExtent l="0" t="0" r="127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 S9 Frequency resolution.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64530" cy="2009775"/>
                    </a:xfrm>
                    <a:prstGeom prst="rect">
                      <a:avLst/>
                    </a:prstGeom>
                  </pic:spPr>
                </pic:pic>
              </a:graphicData>
            </a:graphic>
          </wp:inline>
        </w:drawing>
      </w:r>
      <w:r w:rsidR="00D91049" w:rsidRPr="7AA29AA8">
        <w:rPr>
          <w:b/>
          <w:bCs/>
          <w:sz w:val="22"/>
          <w:szCs w:val="22"/>
        </w:rPr>
        <w:t>Supplementary figure</w:t>
      </w:r>
      <w:r w:rsidR="00D92572">
        <w:rPr>
          <w:b/>
          <w:bCs/>
          <w:sz w:val="22"/>
          <w:szCs w:val="22"/>
        </w:rPr>
        <w:t xml:space="preserve"> </w:t>
      </w:r>
      <w:r w:rsidR="00333430" w:rsidRPr="7AA29AA8">
        <w:rPr>
          <w:b/>
          <w:bCs/>
          <w:sz w:val="22"/>
          <w:szCs w:val="22"/>
        </w:rPr>
        <w:t>13</w:t>
      </w:r>
      <w:r w:rsidR="00D91049" w:rsidRPr="7AA29AA8">
        <w:rPr>
          <w:b/>
          <w:bCs/>
          <w:sz w:val="22"/>
          <w:szCs w:val="22"/>
        </w:rPr>
        <w:t xml:space="preserve">. </w:t>
      </w:r>
      <w:r w:rsidR="008B6B5D" w:rsidRPr="7AA29AA8">
        <w:rPr>
          <w:b/>
          <w:bCs/>
          <w:sz w:val="22"/>
          <w:szCs w:val="22"/>
        </w:rPr>
        <w:t xml:space="preserve">Frequency resolution of sound coding by auditory nerve </w:t>
      </w:r>
      <w:proofErr w:type="spellStart"/>
      <w:r w:rsidR="008B6B5D" w:rsidRPr="7AA29AA8">
        <w:rPr>
          <w:b/>
          <w:bCs/>
          <w:sz w:val="22"/>
          <w:szCs w:val="22"/>
        </w:rPr>
        <w:t>fibers</w:t>
      </w:r>
      <w:proofErr w:type="spellEnd"/>
      <w:r w:rsidR="0057493F" w:rsidRPr="7AA29AA8">
        <w:rPr>
          <w:b/>
          <w:bCs/>
          <w:sz w:val="22"/>
          <w:szCs w:val="22"/>
        </w:rPr>
        <w:t xml:space="preserve">. </w:t>
      </w:r>
      <w:r w:rsidR="000A25EA" w:rsidRPr="7AA29AA8">
        <w:rPr>
          <w:b/>
          <w:bCs/>
          <w:sz w:val="22"/>
          <w:szCs w:val="22"/>
          <w:lang w:eastAsia="en-GB"/>
        </w:rPr>
        <w:t>(</w:t>
      </w:r>
      <w:r w:rsidR="00154772" w:rsidRPr="7AA29AA8">
        <w:rPr>
          <w:b/>
          <w:bCs/>
          <w:sz w:val="22"/>
          <w:szCs w:val="22"/>
          <w:lang w:eastAsia="en-GB"/>
        </w:rPr>
        <w:t>a</w:t>
      </w:r>
      <w:r w:rsidR="00C313D5" w:rsidRPr="7AA29AA8">
        <w:rPr>
          <w:b/>
          <w:bCs/>
          <w:sz w:val="22"/>
          <w:szCs w:val="22"/>
          <w:lang w:eastAsia="en-GB"/>
        </w:rPr>
        <w:t>-</w:t>
      </w:r>
      <w:r w:rsidR="00C036B8" w:rsidRPr="7AA29AA8">
        <w:rPr>
          <w:b/>
          <w:bCs/>
          <w:sz w:val="22"/>
          <w:szCs w:val="22"/>
          <w:lang w:eastAsia="en-GB"/>
        </w:rPr>
        <w:t>a’</w:t>
      </w:r>
      <w:r w:rsidR="000A25EA" w:rsidRPr="7AA29AA8">
        <w:rPr>
          <w:b/>
          <w:bCs/>
          <w:sz w:val="22"/>
          <w:szCs w:val="22"/>
          <w:lang w:eastAsia="en-GB"/>
        </w:rPr>
        <w:t>)</w:t>
      </w:r>
      <w:r w:rsidR="000A25EA" w:rsidRPr="00CC3DB5">
        <w:rPr>
          <w:sz w:val="22"/>
          <w:szCs w:val="22"/>
          <w:lang w:eastAsia="en-GB"/>
        </w:rPr>
        <w:t xml:space="preserve"> </w:t>
      </w:r>
      <w:r w:rsidR="00492603" w:rsidRPr="00CC3DB5">
        <w:rPr>
          <w:sz w:val="22"/>
          <w:szCs w:val="22"/>
          <w:lang w:eastAsia="en-GB"/>
        </w:rPr>
        <w:t>T</w:t>
      </w:r>
      <w:r w:rsidR="000A25EA" w:rsidRPr="00CC3DB5">
        <w:rPr>
          <w:sz w:val="22"/>
          <w:szCs w:val="22"/>
          <w:lang w:eastAsia="en-GB"/>
        </w:rPr>
        <w:t xml:space="preserve">uning curves of </w:t>
      </w:r>
      <w:r w:rsidR="00C474BB" w:rsidRPr="00CC3DB5">
        <w:rPr>
          <w:sz w:val="22"/>
          <w:szCs w:val="22"/>
          <w:lang w:eastAsia="en-GB"/>
        </w:rPr>
        <w:t xml:space="preserve">high spontaneous, low threshold </w:t>
      </w:r>
      <w:r w:rsidR="000A25EA" w:rsidRPr="00CC3DB5">
        <w:rPr>
          <w:sz w:val="22"/>
          <w:szCs w:val="22"/>
          <w:lang w:eastAsia="en-GB"/>
        </w:rPr>
        <w:t xml:space="preserve">auditory nerve </w:t>
      </w:r>
      <w:proofErr w:type="spellStart"/>
      <w:r w:rsidR="000A25EA" w:rsidRPr="00CC3DB5">
        <w:rPr>
          <w:sz w:val="22"/>
          <w:szCs w:val="22"/>
          <w:lang w:eastAsia="en-GB"/>
        </w:rPr>
        <w:t>fibers</w:t>
      </w:r>
      <w:proofErr w:type="spellEnd"/>
      <w:r w:rsidR="000A25EA" w:rsidRPr="00CC3DB5">
        <w:rPr>
          <w:sz w:val="22"/>
          <w:szCs w:val="22"/>
          <w:lang w:eastAsia="en-GB"/>
        </w:rPr>
        <w:t xml:space="preserve"> recorded from CBA/J</w:t>
      </w:r>
      <w:r w:rsidR="002C0A29" w:rsidRPr="00CC3DB5">
        <w:rPr>
          <w:sz w:val="22"/>
          <w:szCs w:val="22"/>
          <w:lang w:eastAsia="en-GB"/>
        </w:rPr>
        <w:t xml:space="preserve"> mice taken from </w:t>
      </w:r>
      <w:r w:rsidR="002C0A29" w:rsidRPr="7AA29AA8">
        <w:fldChar w:fldCharType="begin"/>
      </w:r>
      <w:r w:rsidR="00ED72E6" w:rsidRPr="00CC3DB5">
        <w:rPr>
          <w:sz w:val="22"/>
          <w:szCs w:val="22"/>
          <w:lang w:eastAsia="en-GB"/>
        </w:rPr>
        <w:instrText xml:space="preserve"> ADDIN ZOTERO_ITEM CSL_CITATION {"citationID":"a39b4k7jgt","properties":{"formattedCitation":"({\\i{}31})","plainCitation":"(31)","noteIndex":0},"citationItems":[{"id":5744,"uris":["http://zotero.org/users/598743/items/CFXBZNZA"],"uri":["http://zotero.org/users/598743/items/CFXBZNZA"],"itemData":{"id":5744,"type":"article-journal","abstract":"The availability of transgenic and mutant lines makes the mouse a valuable model for study of the inner ear, and a powerful window into cochlear function can be obtained by recordings from single auditory nerve (AN) fibers. This study provides the first systematic description of spontaneous and sound-evoked discharge properties of AN fibers in mouse, specifically in CBA/CaJ and C57BL/6 strains, both commonly used in auditory research. Response properties of 196 AN fibers from CBA/CaJ and 58 from C57BL/6 were analyzed, including spontaneous rates (SR), tuning curves, rate versus level functions, dynamic range, response adaptation, phase-locking, and the relation between SR and these response properties. The only significant interstrain difference was the elevation of high-frequency thresholds in C57BL/6. In general, mouse AN fibers showed similar responses to other mammals: sharpness of tuning increased with characteristic frequency, which ranged from 2.5 to 70 kHz; SRs ranged from 0 to 120 sp/s, and fibers with low SR (&lt;1 sp/s) had higher thresholds, and wider dynamic ranges than fibers with high SR. Dynamic ranges for mouse high-SR fibers were smaller (&lt;20 dB) than those seen in other mammals. Phase-locking was seen for tone frequencies &lt;4 kHz. Maximum synchronization indices were lower than those in cat but similar to those found in guinea pig.","container-title":"Journal of Neurophysiology","DOI":"10.1152/jn.00574.2004","ISSN":"0022-3077, 1522-1598","issue":"1","journalAbbreviation":"J Neurophysiol","language":"en","page":"557-569","source":"jn.physiology.org","title":"Response Properties of Single Auditory Nerve Fibers in the Mouse","volume":"93","author":[{"family":"Taberner","given":"Annette M"},{"family":"Liberman","given":"M. Charles"}],"issued":{"date-parts":[["2005",1,1]]}}}],"schema":"https://github.com/citation-style-language/schema/raw/master/csl-citation.json"} </w:instrText>
      </w:r>
      <w:r w:rsidR="002C0A29" w:rsidRPr="7AA29AA8">
        <w:rPr>
          <w:sz w:val="22"/>
          <w:szCs w:val="22"/>
          <w:lang w:eastAsia="en-GB"/>
        </w:rPr>
        <w:fldChar w:fldCharType="separate"/>
      </w:r>
      <w:r w:rsidR="00ED72E6" w:rsidRPr="7AA29AA8">
        <w:rPr>
          <w:sz w:val="22"/>
          <w:szCs w:val="22"/>
        </w:rPr>
        <w:t>(</w:t>
      </w:r>
      <w:r w:rsidR="00ED72E6" w:rsidRPr="7AA29AA8">
        <w:rPr>
          <w:i/>
          <w:iCs/>
          <w:sz w:val="22"/>
          <w:szCs w:val="22"/>
        </w:rPr>
        <w:t>31</w:t>
      </w:r>
      <w:r w:rsidR="00ED72E6" w:rsidRPr="7AA29AA8">
        <w:rPr>
          <w:sz w:val="22"/>
          <w:szCs w:val="22"/>
        </w:rPr>
        <w:t>)</w:t>
      </w:r>
      <w:r w:rsidR="002C0A29" w:rsidRPr="7AA29AA8">
        <w:fldChar w:fldCharType="end"/>
      </w:r>
      <w:r w:rsidR="00C57A84" w:rsidRPr="00CC3DB5">
        <w:rPr>
          <w:sz w:val="22"/>
          <w:szCs w:val="22"/>
          <w:lang w:eastAsia="en-GB"/>
        </w:rPr>
        <w:t xml:space="preserve"> and modified</w:t>
      </w:r>
      <w:r w:rsidR="002C0A29" w:rsidRPr="00CC3DB5">
        <w:rPr>
          <w:sz w:val="22"/>
          <w:szCs w:val="22"/>
          <w:lang w:eastAsia="en-GB"/>
        </w:rPr>
        <w:t xml:space="preserve">: </w:t>
      </w:r>
      <w:r w:rsidR="00154772" w:rsidRPr="7AA29AA8">
        <w:rPr>
          <w:b/>
          <w:bCs/>
          <w:sz w:val="22"/>
          <w:szCs w:val="22"/>
          <w:lang w:eastAsia="en-GB"/>
        </w:rPr>
        <w:t>a</w:t>
      </w:r>
      <w:r w:rsidR="002C0A29" w:rsidRPr="00CC3DB5">
        <w:rPr>
          <w:sz w:val="22"/>
          <w:szCs w:val="22"/>
          <w:lang w:eastAsia="en-GB"/>
        </w:rPr>
        <w:t xml:space="preserve">, auditory nerve </w:t>
      </w:r>
      <w:proofErr w:type="spellStart"/>
      <w:r w:rsidR="002C0A29" w:rsidRPr="00CC3DB5">
        <w:rPr>
          <w:sz w:val="22"/>
          <w:szCs w:val="22"/>
          <w:lang w:eastAsia="en-GB"/>
        </w:rPr>
        <w:t>fibers</w:t>
      </w:r>
      <w:proofErr w:type="spellEnd"/>
      <w:r w:rsidR="00C57A84" w:rsidRPr="00CC3DB5">
        <w:rPr>
          <w:sz w:val="22"/>
          <w:szCs w:val="22"/>
          <w:lang w:eastAsia="en-GB"/>
        </w:rPr>
        <w:t xml:space="preserve"> with relatively low characteristic frequency (CF) of around 7 kHz;</w:t>
      </w:r>
      <w:r w:rsidR="00C57A84" w:rsidRPr="7AA29AA8">
        <w:rPr>
          <w:b/>
          <w:bCs/>
          <w:sz w:val="22"/>
          <w:szCs w:val="22"/>
          <w:lang w:eastAsia="en-GB"/>
        </w:rPr>
        <w:t xml:space="preserve"> </w:t>
      </w:r>
      <w:r w:rsidR="00C036B8" w:rsidRPr="7AA29AA8">
        <w:rPr>
          <w:b/>
          <w:bCs/>
          <w:sz w:val="22"/>
          <w:szCs w:val="22"/>
          <w:lang w:eastAsia="en-GB"/>
        </w:rPr>
        <w:t>a’</w:t>
      </w:r>
      <w:r w:rsidR="005D43CA" w:rsidRPr="00CC3DB5">
        <w:rPr>
          <w:sz w:val="22"/>
          <w:szCs w:val="22"/>
          <w:lang w:eastAsia="en-GB"/>
        </w:rPr>
        <w:t xml:space="preserve">, </w:t>
      </w:r>
      <w:r w:rsidR="00C57A84" w:rsidRPr="00CC3DB5">
        <w:rPr>
          <w:sz w:val="22"/>
          <w:szCs w:val="22"/>
          <w:lang w:eastAsia="en-GB"/>
        </w:rPr>
        <w:t xml:space="preserve">auditory nerve </w:t>
      </w:r>
      <w:proofErr w:type="spellStart"/>
      <w:r w:rsidR="00C57A84" w:rsidRPr="00CC3DB5">
        <w:rPr>
          <w:sz w:val="22"/>
          <w:szCs w:val="22"/>
          <w:lang w:eastAsia="en-GB"/>
        </w:rPr>
        <w:t>fibers</w:t>
      </w:r>
      <w:proofErr w:type="spellEnd"/>
      <w:r w:rsidR="00C57A84" w:rsidRPr="00CC3DB5">
        <w:rPr>
          <w:sz w:val="22"/>
          <w:szCs w:val="22"/>
          <w:lang w:eastAsia="en-GB"/>
        </w:rPr>
        <w:t xml:space="preserve"> with relatively high characteristic frequency (CF) of around 50-60 kHz. Red boxes indicate the frequency range covered by the largest observed mini-syncytium (9 IHCs: 83.7 µm, approximately 1.29% of the length of the organ of Corti or 0.06 octaves). </w:t>
      </w:r>
      <w:r w:rsidR="00C57A84" w:rsidRPr="7AA29AA8">
        <w:rPr>
          <w:b/>
          <w:bCs/>
          <w:sz w:val="22"/>
          <w:szCs w:val="22"/>
          <w:lang w:eastAsia="en-GB"/>
        </w:rPr>
        <w:t>(</w:t>
      </w:r>
      <w:r w:rsidR="00154772" w:rsidRPr="7AA29AA8">
        <w:rPr>
          <w:b/>
          <w:bCs/>
          <w:sz w:val="22"/>
          <w:szCs w:val="22"/>
          <w:lang w:eastAsia="en-GB"/>
        </w:rPr>
        <w:t>b</w:t>
      </w:r>
      <w:r w:rsidR="00C57A84" w:rsidRPr="7AA29AA8">
        <w:rPr>
          <w:b/>
          <w:bCs/>
          <w:sz w:val="22"/>
          <w:szCs w:val="22"/>
          <w:lang w:eastAsia="en-GB"/>
        </w:rPr>
        <w:t xml:space="preserve">) </w:t>
      </w:r>
      <w:r w:rsidR="00C57A84" w:rsidRPr="00CC3DB5">
        <w:rPr>
          <w:sz w:val="22"/>
          <w:szCs w:val="22"/>
          <w:lang w:eastAsia="en-GB"/>
        </w:rPr>
        <w:t xml:space="preserve">Quality of frequency tuning assessed as Q10dB (see below) of auditory nerve </w:t>
      </w:r>
      <w:proofErr w:type="spellStart"/>
      <w:r w:rsidR="00C57A84" w:rsidRPr="00CC3DB5">
        <w:rPr>
          <w:sz w:val="22"/>
          <w:szCs w:val="22"/>
          <w:lang w:eastAsia="en-GB"/>
        </w:rPr>
        <w:t>fibers</w:t>
      </w:r>
      <w:proofErr w:type="spellEnd"/>
      <w:r w:rsidR="00C57A84" w:rsidRPr="00CC3DB5">
        <w:rPr>
          <w:sz w:val="22"/>
          <w:szCs w:val="22"/>
          <w:lang w:eastAsia="en-GB"/>
        </w:rPr>
        <w:t xml:space="preserve"> recorded from CBA/J (circles) and C57Bl/6 (triangles) mice taken </w:t>
      </w:r>
      <w:r w:rsidR="00C57A84" w:rsidRPr="7AA29AA8">
        <w:fldChar w:fldCharType="begin"/>
      </w:r>
      <w:r w:rsidR="00ED72E6" w:rsidRPr="00CC3DB5">
        <w:rPr>
          <w:sz w:val="22"/>
          <w:szCs w:val="22"/>
          <w:lang w:eastAsia="en-GB"/>
        </w:rPr>
        <w:instrText xml:space="preserve"> ADDIN ZOTERO_ITEM CSL_CITATION {"citationID":"L0ges7lJ","properties":{"formattedCitation":"({\\i{}31})","plainCitation":"(31)","noteIndex":0},"citationItems":[{"id":5744,"uris":["http://zotero.org/users/598743/items/CFXBZNZA"],"uri":["http://zotero.org/users/598743/items/CFXBZNZA"],"itemData":{"id":5744,"type":"article-journal","abstract":"The availability of transgenic and mutant lines makes the mouse a valuable model for study of the inner ear, and a powerful window into cochlear function can be obtained by recordings from single auditory nerve (AN) fibers. This study provides the first systematic description of spontaneous and sound-evoked discharge properties of AN fibers in mouse, specifically in CBA/CaJ and C57BL/6 strains, both commonly used in auditory research. Response properties of 196 AN fibers from CBA/CaJ and 58 from C57BL/6 were analyzed, including spontaneous rates (SR), tuning curves, rate versus level functions, dynamic range, response adaptation, phase-locking, and the relation between SR and these response properties. The only significant interstrain difference was the elevation of high-frequency thresholds in C57BL/6. In general, mouse AN fibers showed similar responses to other mammals: sharpness of tuning increased with characteristic frequency, which ranged from 2.5 to 70 kHz; SRs ranged from 0 to 120 sp/s, and fibers with low SR (&lt;1 sp/s) had higher thresholds, and wider dynamic ranges than fibers with high SR. Dynamic ranges for mouse high-SR fibers were smaller (&lt;20 dB) than those seen in other mammals. Phase-locking was seen for tone frequencies &lt;4 kHz. Maximum synchronization indices were lower than those in cat but similar to those found in guinea pig.","container-title":"Journal of Neurophysiology","DOI":"10.1152/jn.00574.2004","ISSN":"0022-3077, 1522-1598","issue":"1","journalAbbreviation":"J Neurophysiol","language":"en","page":"557-569","source":"jn.physiology.org","title":"Response Properties of Single Auditory Nerve Fibers in the Mouse","volume":"93","author":[{"family":"Taberner","given":"Annette M"},{"family":"Liberman","given":"M. Charles"}],"issued":{"date-parts":[["2005",1,1]]}}}],"schema":"https://github.com/citation-style-language/schema/raw/master/csl-citation.json"} </w:instrText>
      </w:r>
      <w:r w:rsidR="00C57A84" w:rsidRPr="7AA29AA8">
        <w:rPr>
          <w:sz w:val="22"/>
          <w:szCs w:val="22"/>
          <w:lang w:eastAsia="en-GB"/>
        </w:rPr>
        <w:fldChar w:fldCharType="separate"/>
      </w:r>
      <w:r w:rsidR="00ED72E6" w:rsidRPr="7AA29AA8">
        <w:rPr>
          <w:sz w:val="22"/>
          <w:szCs w:val="22"/>
        </w:rPr>
        <w:t>(</w:t>
      </w:r>
      <w:r w:rsidR="00ED72E6" w:rsidRPr="7AA29AA8">
        <w:rPr>
          <w:i/>
          <w:iCs/>
          <w:sz w:val="22"/>
          <w:szCs w:val="22"/>
        </w:rPr>
        <w:t>31</w:t>
      </w:r>
      <w:r w:rsidR="00ED72E6" w:rsidRPr="7AA29AA8">
        <w:rPr>
          <w:sz w:val="22"/>
          <w:szCs w:val="22"/>
        </w:rPr>
        <w:t>)</w:t>
      </w:r>
      <w:r w:rsidR="00C57A84" w:rsidRPr="7AA29AA8">
        <w:fldChar w:fldCharType="end"/>
      </w:r>
      <w:r w:rsidR="00C57A84" w:rsidRPr="00CC3DB5">
        <w:rPr>
          <w:sz w:val="22"/>
          <w:szCs w:val="22"/>
          <w:lang w:eastAsia="en-GB"/>
        </w:rPr>
        <w:t>.</w:t>
      </w:r>
    </w:p>
    <w:p w14:paraId="6641E224" w14:textId="2E88241A" w:rsidR="005B0AE7" w:rsidRPr="00CC3DB5" w:rsidRDefault="00C57A84" w:rsidP="00A47DFA">
      <w:pPr>
        <w:jc w:val="both"/>
        <w:rPr>
          <w:sz w:val="22"/>
          <w:szCs w:val="22"/>
          <w:lang w:eastAsia="en-GB"/>
        </w:rPr>
      </w:pPr>
      <w:r w:rsidRPr="00CC3DB5">
        <w:rPr>
          <w:sz w:val="22"/>
          <w:szCs w:val="22"/>
          <w:lang w:eastAsia="en-GB"/>
        </w:rPr>
        <w:t xml:space="preserve"> </w:t>
      </w:r>
    </w:p>
    <w:p w14:paraId="3E38A5FC" w14:textId="77777777" w:rsidR="00AE277F" w:rsidRDefault="00AE277F" w:rsidP="00A47DFA">
      <w:pPr>
        <w:jc w:val="both"/>
        <w:rPr>
          <w:b/>
          <w:sz w:val="22"/>
          <w:szCs w:val="22"/>
          <w:lang w:eastAsia="en-GB"/>
        </w:rPr>
      </w:pPr>
      <w:r>
        <w:rPr>
          <w:b/>
          <w:sz w:val="22"/>
          <w:szCs w:val="22"/>
          <w:lang w:eastAsia="en-GB"/>
        </w:rPr>
        <w:t>Supplementary note 2</w:t>
      </w:r>
    </w:p>
    <w:p w14:paraId="4C014516" w14:textId="7BB73351" w:rsidR="0014317F" w:rsidRPr="00CC3DB5" w:rsidRDefault="00DD2F5F" w:rsidP="00A47DFA">
      <w:pPr>
        <w:jc w:val="both"/>
        <w:rPr>
          <w:b/>
          <w:sz w:val="22"/>
          <w:szCs w:val="22"/>
          <w:lang w:eastAsia="en-GB"/>
        </w:rPr>
      </w:pPr>
      <w:r w:rsidRPr="00CC3DB5">
        <w:rPr>
          <w:b/>
          <w:sz w:val="22"/>
          <w:szCs w:val="22"/>
          <w:lang w:eastAsia="en-GB"/>
        </w:rPr>
        <w:t>Does IHC-coupling degrade the frequency resolution of cochlear sound coding?</w:t>
      </w:r>
    </w:p>
    <w:p w14:paraId="0D40C003" w14:textId="39C5DA3C" w:rsidR="00061B34" w:rsidRPr="00CC3DB5" w:rsidRDefault="00061B34" w:rsidP="00A47DFA">
      <w:pPr>
        <w:jc w:val="both"/>
        <w:rPr>
          <w:sz w:val="22"/>
          <w:szCs w:val="22"/>
          <w:lang w:eastAsia="en-GB"/>
        </w:rPr>
      </w:pPr>
      <w:r w:rsidRPr="00CC3DB5">
        <w:rPr>
          <w:sz w:val="22"/>
          <w:szCs w:val="22"/>
          <w:lang w:eastAsia="en-GB"/>
        </w:rPr>
        <w:t>IHC coupling with large-conductance intercellular coupling</w:t>
      </w:r>
      <w:r w:rsidR="000B176C" w:rsidRPr="00CC3DB5">
        <w:rPr>
          <w:sz w:val="22"/>
          <w:szCs w:val="22"/>
          <w:lang w:eastAsia="en-GB"/>
        </w:rPr>
        <w:t xml:space="preserve"> would be expected to </w:t>
      </w:r>
      <w:r w:rsidRPr="00CC3DB5">
        <w:rPr>
          <w:sz w:val="22"/>
          <w:szCs w:val="22"/>
          <w:lang w:eastAsia="en-GB"/>
        </w:rPr>
        <w:t>degrade frequency resolution of sound coding if it was not limited to within the mini</w:t>
      </w:r>
      <w:r w:rsidR="000B176C" w:rsidRPr="00CC3DB5">
        <w:rPr>
          <w:sz w:val="22"/>
          <w:szCs w:val="22"/>
          <w:lang w:eastAsia="en-GB"/>
        </w:rPr>
        <w:t>-</w:t>
      </w:r>
      <w:r w:rsidRPr="00CC3DB5">
        <w:rPr>
          <w:sz w:val="22"/>
          <w:szCs w:val="22"/>
          <w:lang w:eastAsia="en-GB"/>
        </w:rPr>
        <w:t>syncytia</w:t>
      </w:r>
      <w:r w:rsidR="000B176C" w:rsidRPr="00CC3DB5">
        <w:rPr>
          <w:sz w:val="22"/>
          <w:szCs w:val="22"/>
          <w:lang w:eastAsia="en-GB"/>
        </w:rPr>
        <w:t xml:space="preserve"> that </w:t>
      </w:r>
      <w:r w:rsidR="00A05329" w:rsidRPr="00CC3DB5">
        <w:rPr>
          <w:sz w:val="22"/>
          <w:szCs w:val="22"/>
          <w:lang w:eastAsia="en-GB"/>
        </w:rPr>
        <w:t>are embedded in the row of IHCs of which most (70%) are non-coupled</w:t>
      </w:r>
      <w:r w:rsidRPr="00CC3DB5">
        <w:rPr>
          <w:sz w:val="22"/>
          <w:szCs w:val="22"/>
          <w:lang w:eastAsia="en-GB"/>
        </w:rPr>
        <w:t xml:space="preserve">. In our data set on </w:t>
      </w:r>
      <w:r w:rsidR="00DD2F5F" w:rsidRPr="00CC3DB5">
        <w:rPr>
          <w:sz w:val="22"/>
          <w:szCs w:val="22"/>
          <w:lang w:eastAsia="en-GB"/>
        </w:rPr>
        <w:t>P30</w:t>
      </w:r>
      <w:r w:rsidRPr="00CC3DB5">
        <w:rPr>
          <w:sz w:val="22"/>
          <w:szCs w:val="22"/>
          <w:lang w:eastAsia="en-GB"/>
        </w:rPr>
        <w:t>-45 mice, the average number of cells per syncytium was 3</w:t>
      </w:r>
      <w:r w:rsidR="00D26A5D" w:rsidRPr="00CC3DB5">
        <w:rPr>
          <w:sz w:val="22"/>
          <w:szCs w:val="22"/>
          <w:lang w:eastAsia="en-GB"/>
        </w:rPr>
        <w:t xml:space="preserve"> (3.05 ± 0.17 (S.D.</w:t>
      </w:r>
      <w:r w:rsidR="00492603" w:rsidRPr="00CC3DB5">
        <w:rPr>
          <w:sz w:val="22"/>
          <w:szCs w:val="22"/>
          <w:lang w:eastAsia="en-GB"/>
        </w:rPr>
        <w:t xml:space="preserve"> </w:t>
      </w:r>
      <w:r w:rsidR="00D26A5D" w:rsidRPr="00CC3DB5">
        <w:rPr>
          <w:sz w:val="22"/>
          <w:szCs w:val="22"/>
          <w:lang w:eastAsia="en-GB"/>
        </w:rPr>
        <w:t>=</w:t>
      </w:r>
      <w:r w:rsidR="00492603" w:rsidRPr="00CC3DB5">
        <w:rPr>
          <w:sz w:val="22"/>
          <w:szCs w:val="22"/>
          <w:lang w:eastAsia="en-GB"/>
        </w:rPr>
        <w:t xml:space="preserve"> </w:t>
      </w:r>
      <w:r w:rsidR="00D26A5D" w:rsidRPr="00CC3DB5">
        <w:rPr>
          <w:sz w:val="22"/>
          <w:szCs w:val="22"/>
          <w:lang w:eastAsia="en-GB"/>
        </w:rPr>
        <w:t>1.53)</w:t>
      </w:r>
      <w:r w:rsidR="008671BA" w:rsidRPr="00CC3DB5">
        <w:rPr>
          <w:sz w:val="22"/>
          <w:szCs w:val="22"/>
          <w:lang w:eastAsia="en-GB"/>
        </w:rPr>
        <w:t>)</w:t>
      </w:r>
      <w:r w:rsidR="00D26A5D" w:rsidRPr="00CC3DB5">
        <w:rPr>
          <w:sz w:val="22"/>
          <w:szCs w:val="22"/>
          <w:lang w:eastAsia="en-GB"/>
        </w:rPr>
        <w:t>.</w:t>
      </w:r>
      <w:r w:rsidRPr="00CC3DB5">
        <w:rPr>
          <w:sz w:val="22"/>
          <w:szCs w:val="22"/>
          <w:lang w:eastAsia="en-GB"/>
        </w:rPr>
        <w:t xml:space="preserve"> The mouse cochlea </w:t>
      </w:r>
      <w:r w:rsidR="005C617E" w:rsidRPr="00CC3DB5">
        <w:rPr>
          <w:sz w:val="22"/>
          <w:szCs w:val="22"/>
          <w:lang w:eastAsia="en-GB"/>
        </w:rPr>
        <w:t xml:space="preserve">(with differences between strains and methods) </w:t>
      </w:r>
      <w:r w:rsidRPr="00CC3DB5">
        <w:rPr>
          <w:sz w:val="22"/>
          <w:szCs w:val="22"/>
          <w:lang w:eastAsia="en-GB"/>
        </w:rPr>
        <w:t xml:space="preserve">is </w:t>
      </w:r>
      <w:r w:rsidR="00591A9D" w:rsidRPr="00CC3DB5">
        <w:rPr>
          <w:sz w:val="22"/>
          <w:szCs w:val="22"/>
          <w:lang w:eastAsia="en-GB"/>
        </w:rPr>
        <w:t xml:space="preserve">approximately </w:t>
      </w:r>
      <w:r w:rsidRPr="00CC3DB5">
        <w:rPr>
          <w:sz w:val="22"/>
          <w:szCs w:val="22"/>
          <w:lang w:eastAsia="en-GB"/>
        </w:rPr>
        <w:t>6</w:t>
      </w:r>
      <w:r w:rsidR="00434C62" w:rsidRPr="00CC3DB5">
        <w:rPr>
          <w:sz w:val="22"/>
          <w:szCs w:val="22"/>
          <w:lang w:eastAsia="en-GB"/>
        </w:rPr>
        <w:t>-7</w:t>
      </w:r>
      <w:r w:rsidRPr="00CC3DB5">
        <w:rPr>
          <w:sz w:val="22"/>
          <w:szCs w:val="22"/>
          <w:lang w:eastAsia="en-GB"/>
        </w:rPr>
        <w:t xml:space="preserve"> mm long</w:t>
      </w:r>
      <w:r w:rsidR="00FB2425" w:rsidRPr="00CC3DB5">
        <w:rPr>
          <w:sz w:val="22"/>
          <w:szCs w:val="22"/>
          <w:lang w:eastAsia="en-GB"/>
        </w:rPr>
        <w:t xml:space="preserve"> </w:t>
      </w:r>
      <w:r w:rsidR="00FB2425" w:rsidRPr="00CC3DB5">
        <w:rPr>
          <w:sz w:val="22"/>
          <w:szCs w:val="22"/>
          <w:lang w:eastAsia="en-GB"/>
        </w:rPr>
        <w:fldChar w:fldCharType="begin"/>
      </w:r>
      <w:r w:rsidR="00ED72E6" w:rsidRPr="00CC3DB5">
        <w:rPr>
          <w:sz w:val="22"/>
          <w:szCs w:val="22"/>
          <w:lang w:eastAsia="en-GB"/>
        </w:rPr>
        <w:instrText xml:space="preserve"> ADDIN ZOTERO_ITEM CSL_CITATION {"citationID":"a1euje9e45c","properties":{"formattedCitation":"({\\i{}32}\\uc0\\u8211{}{\\i{}34})","plainCitation":"(32–34)","noteIndex":0},"citationItems":[{"id":17035,"uris":["http://zotero.org/users/598743/items/P5QLJ7PJ"],"uri":["http://zotero.org/users/598743/items/P5QLJ7PJ"],"itemData":{"id":17035,"type":"article-journal","abstract":"Summary 1. Soft surface preparations of the cochlea were used to determine the density of inner and outer hair cells along the basilar membrane. A total number of 2526 outer hair cells (in three rows) and 765 inner hair cells (in one row) were counted. The density of hair cells is significantly higher in the middle part of the cochlea (3.5–4 mm from the apex, total length 6.84 mm) than near apex and base. 2. A special technique was developed for cutting the cochlea on an ultramicrotome radially (2 μm or 3 μm thick sections) throughout the total length. The evaluation of the radial sections showed a) two significant maxima of density of habenular openings (places where nerve fibres enter the organ of Corti), which can be assumed to represent maxima of innervation density, b) a significant increase of thickness of the basilar membrane from the apex (1μm) up to 5.8 mm from the apex (14.5 μm), followed by a plateau up to 6.1 mm and a rapid decrease toward the base (4.5 μm), c) a significant decrease in width of the basilar membrane from 1.5 mm from the apex (160 μm) to the base (40 μm), d) a significant reduction in height of the tunnel of Corti from 1 mm from the apex (40 μm) to the base (18 μm). 3. The area of the helicotrema amounts to 0.047 mm2. 4. The present data on hair cell and innervation (habenular opening) density are closely related to the frequency region of best hearing (15 kHz) and to features of frequency and intensity discrimination. 5. From the data on width and thickness a function for changing stiffness (z) along the basilar membrane was calculated (z = 0.0032·100.206c;c=distance in mm from apex). 6. The most probable mode of displacement of the basilar membrane and of excitation of hair cells was derived from pictures of radial sections.","container-title":"Journal of comparative physiology","DOI":"10.1007/BF00611249","ISSN":"0340-7594, 1432-1351","issue":"1","journalAbbreviation":"J. Comp. Physiol.","language":"en","page":"65-85","source":"Springer Link","title":"Quantitative analysis of cochlear structures in the house mouse in relation to mechanisms of acoustical information processing","volume":"122","author":[{"family":"Ehret","given":"Günter"},{"family":"Frankenreiter","given":"Monika"}],"issued":{"date-parts":[["1977",1,1]]}}},{"id":17086,"uris":["http://zotero.org/users/598743/items/6LW7PCZ5"],"uri":["http://zotero.org/users/598743/items/6LW7PCZ5"],"itemData":{"id":17086,"type":"article-journal","abstract":"Objective. Administration of an aminoglycoside antibiotic and loop diuretic causes damage to hair cells in the organ of Corti, resulting in their death and the death of their corresponding spiral ganglion neurons. While this phenomenon has been studied previously, analysis of its effects in the whole cochlea has not been reported. The authors sought to evaluate the effects of a combination dose of kanamycin and furosemide in mice cochlea using an imaging system and computer analysis that allowed for nondestructive, whole-cochlea visualization. Study Design. Study using an animal model. Setting. Cochlear analysis laboratory. Subjects and Methods. Five mice received kanamycin and furosemide and 3 mice received saline. Cochleas were harvested and imaged with scanning thin-sheet laser imaging microscopy (sTSLIM) to analyze sensory cells and cochlea structures.\nResults. The drug-treated animals showed substantial loss of inner hair cells and complete outer hair cell loss. All treated mice showed spiral ganglion neuron loss with fewer neurons than control animals and decreased cell density in the middle turn of the cochlea. The spiral ligament and spiral limbus in the treated animals also showed a decrease in fibrocyte cell density in the middle to apical portion of the cochlea. The stria vascularis appeared normal in all animals.\nConclusion. Imaging methods that allow for whole-cochlea analysis provide insight into changes that occur in the cochlea after ototoxic insult. Trends that may not be apparent in cross-section samples of the cochlea can be observed. Computer analysis of these trends allows them to be assessed accurately.","container-title":"Otolaryngology–Head and Neck Surgery","DOI":"10.1177/0194599813519071","ISSN":"0194-5998, 1097-6817","issue":"4","journalAbbreviation":"Otolaryngol Head Neck Surg","language":"en","note":"PMID: 24415490","page":"666-672","source":"Crossref","title":"Kanamycin-Furosemide Ototoxicity in the Mouse Cochlea: A 3-Dimensional Analysis","title-short":"Kanamycin-Furosemide Ototoxicity in the Mouse Cochlea","volume":"150","author":[{"family":"Schmitz","given":"Heather M."},{"family":"Johnson","given":"Shane B."},{"family":"Santi","given":"Peter A."}],"issued":{"date-parts":[["2014",4]]}}},{"id":8127,"uris":["http://zotero.org/users/598743/items/MFMJ6Q2S"],"uri":["http://zotero.org/users/598743/items/MFMJ6Q2S"],"itemData":{"id":8127,"type":"article-journal","abstract":"An anatomically based frequency–place map was created for the mouse using C57BL/CBA F1 hybrids by matching noise-induced lesions in the organ of Corti with permanent hearing losses as determined by auditory brainstem response (ABR) thresholds. Twenty-six mice developed ‘notched’ ABR threshold shifts after exposure to an octave band of noise with a center frequency of 2 kHz at 120 dB SPL for 24 h, 4 kHz at 110 dB SPL for 4 h or 8 kHz at 100 dB SPL for 1 or 2 h. ABR thresholds were determined at several intervals post-exposure until thresholds stabilized (14–27 days). Once thresholds had stabilized, the mice were killed and their cochleas were prepared for phase-contrast microscopic examination as plastic-embedded flat preparations. Hair cell loss, stereocilia damage, and myelinated nerve fiber degeneration as a function of percentage distance from the cochlear apex were determined. Frequency–position matches could be made for 22 of the 26 mice by correlating areas of hair cell loss/stereocilia damage with permanent changes in ABR thresholds. These frequency–position data were fitted with the equation: % Distance from apex=56.6 log (fHz)−179.1; r2=0.810. This frequency–place function agrees well with Ehret’s (1975) theoretical function based on critical bands and masked auditory thresholds.","container-title":"Hearing Research","DOI":"10.1016/S0378-5955(00)00082-4","ISSN":"0378-5955","issue":"1–2","journalAbbreviation":"Hear Res","page":"123-129","source":"ScienceDirect","title":"An anatomically based frequency–place map for the mouse cochlea","volume":"145","author":[{"family":"Ou","given":"Henry C."},{"family":"Harding","given":"Gary W."},{"family":"Bohne","given":"Barbara A."}],"issued":{"date-parts":[["2000",7]]}}}],"schema":"https://github.com/citation-style-language/schema/raw/master/csl-citation.json"} </w:instrText>
      </w:r>
      <w:r w:rsidR="00FB2425" w:rsidRPr="00CC3DB5">
        <w:rPr>
          <w:sz w:val="22"/>
          <w:szCs w:val="22"/>
          <w:lang w:eastAsia="en-GB"/>
        </w:rPr>
        <w:fldChar w:fldCharType="separate"/>
      </w:r>
      <w:r w:rsidR="00ED72E6" w:rsidRPr="00CC3DB5">
        <w:rPr>
          <w:sz w:val="22"/>
        </w:rPr>
        <w:t>(</w:t>
      </w:r>
      <w:r w:rsidR="00ED72E6" w:rsidRPr="00CC3DB5">
        <w:rPr>
          <w:i/>
          <w:iCs/>
          <w:sz w:val="22"/>
        </w:rPr>
        <w:t>32</w:t>
      </w:r>
      <w:r w:rsidR="00ED72E6" w:rsidRPr="00CC3DB5">
        <w:rPr>
          <w:sz w:val="22"/>
        </w:rPr>
        <w:t>–</w:t>
      </w:r>
      <w:r w:rsidR="00ED72E6" w:rsidRPr="00CC3DB5">
        <w:rPr>
          <w:i/>
          <w:iCs/>
          <w:sz w:val="22"/>
        </w:rPr>
        <w:t>34</w:t>
      </w:r>
      <w:r w:rsidR="00ED72E6" w:rsidRPr="00CC3DB5">
        <w:rPr>
          <w:sz w:val="22"/>
        </w:rPr>
        <w:t>)</w:t>
      </w:r>
      <w:r w:rsidR="00FB2425" w:rsidRPr="00CC3DB5">
        <w:rPr>
          <w:sz w:val="22"/>
          <w:szCs w:val="22"/>
          <w:lang w:eastAsia="en-GB"/>
        </w:rPr>
        <w:fldChar w:fldCharType="end"/>
      </w:r>
      <w:r w:rsidRPr="00CC3DB5">
        <w:rPr>
          <w:sz w:val="22"/>
          <w:szCs w:val="22"/>
          <w:lang w:eastAsia="en-GB"/>
        </w:rPr>
        <w:t>, covers</w:t>
      </w:r>
      <w:r w:rsidR="005C617E" w:rsidRPr="00CC3DB5">
        <w:rPr>
          <w:sz w:val="22"/>
          <w:szCs w:val="22"/>
          <w:lang w:eastAsia="en-GB"/>
        </w:rPr>
        <w:t xml:space="preserve"> approximately</w:t>
      </w:r>
      <w:r w:rsidRPr="00CC3DB5">
        <w:rPr>
          <w:sz w:val="22"/>
          <w:szCs w:val="22"/>
          <w:lang w:eastAsia="en-GB"/>
        </w:rPr>
        <w:t xml:space="preserve"> </w:t>
      </w:r>
      <w:r w:rsidR="003D18E2" w:rsidRPr="00CC3DB5">
        <w:rPr>
          <w:sz w:val="22"/>
          <w:szCs w:val="22"/>
          <w:lang w:eastAsia="en-GB"/>
        </w:rPr>
        <w:t>5</w:t>
      </w:r>
      <w:r w:rsidRPr="00CC3DB5">
        <w:rPr>
          <w:sz w:val="22"/>
          <w:szCs w:val="22"/>
          <w:lang w:eastAsia="en-GB"/>
        </w:rPr>
        <w:t xml:space="preserve"> octaves </w:t>
      </w:r>
      <w:r w:rsidR="006E2247" w:rsidRPr="00CC3DB5">
        <w:rPr>
          <w:sz w:val="22"/>
          <w:szCs w:val="22"/>
          <w:lang w:eastAsia="en-GB"/>
        </w:rPr>
        <w:fldChar w:fldCharType="begin"/>
      </w:r>
      <w:r w:rsidR="00ED72E6" w:rsidRPr="00CC3DB5">
        <w:rPr>
          <w:sz w:val="22"/>
          <w:szCs w:val="22"/>
          <w:lang w:eastAsia="en-GB"/>
        </w:rPr>
        <w:instrText xml:space="preserve"> ADDIN ZOTERO_ITEM CSL_CITATION {"citationID":"a194vrk2hsm","properties":{"formattedCitation":"({\\i{}35})","plainCitation":"(35)","noteIndex":0},"citationItems":[{"id":3406,"uris":["http://zotero.org/users/598743/items/BQCV2QMA"],"uri":["http://zotero.org/users/598743/items/BQCV2QMA"],"itemData":{"id":3406,"type":"article-journal","abstract":"Genetically manipulated mice have gained a prominent role in in vivo research on development and function of the auditory system. A prerequisite for the interpretation of normal and abnormal structural and functional features of the inner ear is the exact knowledge of the cochlear place-frequency map. Using a stereotaxic approach to the projection site of the auditory nerve fibers in the cochlear nucleus, we succeeded in labelling physiologically characterized auditory nerve afferents and determined their peripheral innervation site in the cochlea. From the neuronal characteristic frequency (CF) and the innervation site in the organ of Corti a place-frequency map was established for characteristic frequencies between 7.2 and 61.8 kHz, corresponding to locations between 90% and 10% basilar membrane length (base = 0%, apex = 100%, mean length measured under the inner hair cells 5.13 mm). The relation between normalized distance from the base (d) and frequency (kHz) can be described by a simple logarithmic function: d(%) = 156.5-82.5 x log(f), with a slope of 1.25 mm/octave of frequency. The present map, recorded under physiological conditions, differs from earlier maps determined with different methods. The simple logarithmic place-frequency relation found in the mouse indicates that mice are acoustic generalists rather than specialists.","container-title":"Hearing Research","DOI":"10.1016/j.heares.2004.08.011","ISSN":"0378-5955","issue":"1-2","journalAbbreviation":"Hear. Res","note":"PMID: 15811700","page":"63-73","source":"NCBI PubMed","title":"A physiological place-frequency map of the cochlea in the CBA/J mouse","volume":"202","author":[{"family":"Müller","given":"Marcus"},{"family":"Hünerbein","given":"Karen","non-dropping-particle":"von"},{"family":"Hoidis","given":"Silvi"},{"family":"Smolders","given":"Jean W T"}],"issued":{"date-parts":[["2005",4]]}}}],"schema":"https://github.com/citation-style-language/schema/raw/master/csl-citation.json"} </w:instrText>
      </w:r>
      <w:r w:rsidR="006E2247" w:rsidRPr="00CC3DB5">
        <w:rPr>
          <w:sz w:val="22"/>
          <w:szCs w:val="22"/>
          <w:lang w:eastAsia="en-GB"/>
        </w:rPr>
        <w:fldChar w:fldCharType="separate"/>
      </w:r>
      <w:r w:rsidR="00ED72E6" w:rsidRPr="00CC3DB5">
        <w:rPr>
          <w:sz w:val="22"/>
        </w:rPr>
        <w:t>(</w:t>
      </w:r>
      <w:r w:rsidR="00ED72E6" w:rsidRPr="00CC3DB5">
        <w:rPr>
          <w:i/>
          <w:iCs/>
          <w:sz w:val="22"/>
        </w:rPr>
        <w:t>35</w:t>
      </w:r>
      <w:r w:rsidR="00ED72E6" w:rsidRPr="00CC3DB5">
        <w:rPr>
          <w:sz w:val="22"/>
        </w:rPr>
        <w:t>)</w:t>
      </w:r>
      <w:r w:rsidR="006E2247" w:rsidRPr="00CC3DB5">
        <w:rPr>
          <w:sz w:val="22"/>
          <w:szCs w:val="22"/>
          <w:lang w:eastAsia="en-GB"/>
        </w:rPr>
        <w:fldChar w:fldCharType="end"/>
      </w:r>
      <w:r w:rsidR="006E2247" w:rsidRPr="00CC3DB5">
        <w:rPr>
          <w:sz w:val="22"/>
          <w:szCs w:val="22"/>
          <w:lang w:eastAsia="en-GB"/>
        </w:rPr>
        <w:t xml:space="preserve"> </w:t>
      </w:r>
      <w:r w:rsidRPr="00CC3DB5">
        <w:rPr>
          <w:sz w:val="22"/>
          <w:szCs w:val="22"/>
          <w:lang w:eastAsia="en-GB"/>
        </w:rPr>
        <w:t>and contains 6</w:t>
      </w:r>
      <w:r w:rsidR="00434C62" w:rsidRPr="00CC3DB5">
        <w:rPr>
          <w:sz w:val="22"/>
          <w:szCs w:val="22"/>
          <w:lang w:eastAsia="en-GB"/>
        </w:rPr>
        <w:t>6</w:t>
      </w:r>
      <w:r w:rsidRPr="00CC3DB5">
        <w:rPr>
          <w:sz w:val="22"/>
          <w:szCs w:val="22"/>
          <w:lang w:eastAsia="en-GB"/>
        </w:rPr>
        <w:t>0</w:t>
      </w:r>
      <w:r w:rsidR="00434C62" w:rsidRPr="00CC3DB5">
        <w:rPr>
          <w:sz w:val="22"/>
          <w:szCs w:val="22"/>
          <w:lang w:eastAsia="en-GB"/>
        </w:rPr>
        <w:t>-760</w:t>
      </w:r>
      <w:r w:rsidRPr="00CC3DB5">
        <w:rPr>
          <w:sz w:val="22"/>
          <w:szCs w:val="22"/>
          <w:lang w:eastAsia="en-GB"/>
        </w:rPr>
        <w:t xml:space="preserve"> IHCs</w:t>
      </w:r>
      <w:r w:rsidR="00434C62" w:rsidRPr="00CC3DB5">
        <w:rPr>
          <w:sz w:val="22"/>
          <w:szCs w:val="22"/>
          <w:lang w:eastAsia="en-GB"/>
        </w:rPr>
        <w:t xml:space="preserve"> </w:t>
      </w:r>
      <w:r w:rsidR="005C617E" w:rsidRPr="00CC3DB5">
        <w:rPr>
          <w:sz w:val="22"/>
          <w:szCs w:val="22"/>
          <w:lang w:eastAsia="en-GB"/>
        </w:rPr>
        <w:fldChar w:fldCharType="begin"/>
      </w:r>
      <w:r w:rsidR="00ED72E6" w:rsidRPr="00CC3DB5">
        <w:rPr>
          <w:sz w:val="22"/>
          <w:szCs w:val="22"/>
          <w:lang w:eastAsia="en-GB"/>
        </w:rPr>
        <w:instrText xml:space="preserve"> ADDIN ZOTERO_ITEM CSL_CITATION {"citationID":"aflj8lvvka","properties":{"formattedCitation":"({\\i{}32}, {\\i{}33})","plainCitation":"(32, 33)","noteIndex":0},"citationItems":[{"id":17035,"uris":["http://zotero.org/users/598743/items/P5QLJ7PJ"],"uri":["http://zotero.org/users/598743/items/P5QLJ7PJ"],"itemData":{"id":17035,"type":"article-journal","abstract":"Summary 1. Soft surface preparations of the cochlea were used to determine the density of inner and outer hair cells along the basilar membrane. A total number of 2526 outer hair cells (in three rows) and 765 inner hair cells (in one row) were counted. The density of hair cells is significantly higher in the middle part of the cochlea (3.5–4 mm from the apex, total length 6.84 mm) than near apex and base. 2. A special technique was developed for cutting the cochlea on an ultramicrotome radially (2 μm or 3 μm thick sections) throughout the total length. The evaluation of the radial sections showed a) two significant maxima of density of habenular openings (places where nerve fibres enter the organ of Corti), which can be assumed to represent maxima of innervation density, b) a significant increase of thickness of the basilar membrane from the apex (1μm) up to 5.8 mm from the apex (14.5 μm), followed by a plateau up to 6.1 mm and a rapid decrease toward the base (4.5 μm), c) a significant decrease in width of the basilar membrane from 1.5 mm from the apex (160 μm) to the base (40 μm), d) a significant reduction in height of the tunnel of Corti from 1 mm from the apex (40 μm) to the base (18 μm). 3. The area of the helicotrema amounts to 0.047 mm2. 4. The present data on hair cell and innervation (habenular opening) density are closely related to the frequency region of best hearing (15 kHz) and to features of frequency and intensity discrimination. 5. From the data on width and thickness a function for changing stiffness (z) along the basilar membrane was calculated (z = 0.0032·100.206c;c=distance in mm from apex). 6. The most probable mode of displacement of the basilar membrane and of excitation of hair cells was derived from pictures of radial sections.","container-title":"Journal of comparative physiology","DOI":"10.1007/BF00611249","ISSN":"0340-7594, 1432-1351","issue":"1","journalAbbreviation":"J. Comp. Physiol.","language":"en","page":"65-85","source":"Springer Link","title":"Quantitative analysis of cochlear structures in the house mouse in relation to mechanisms of acoustical information processing","volume":"122","author":[{"family":"Ehret","given":"Günter"},{"family":"Frankenreiter","given":"Monika"}],"issued":{"date-parts":[["1977",1,1]]}}},{"id":17086,"uris":["http://zotero.org/users/598743/items/6LW7PCZ5"],"uri":["http://zotero.org/users/598743/items/6LW7PCZ5"],"itemData":{"id":17086,"type":"article-journal","abstract":"Objective. Administration of an aminoglycoside antibiotic and loop diuretic causes damage to hair cells in the organ of Corti, resulting in their death and the death of their corresponding spiral ganglion neurons. While this phenomenon has been studied previously, analysis of its effects in the whole cochlea has not been reported. The authors sought to evaluate the effects of a combination dose of kanamycin and furosemide in mice cochlea using an imaging system and computer analysis that allowed for nondestructive, whole-cochlea visualization. Study Design. Study using an animal model. Setting. Cochlear analysis laboratory. Subjects and Methods. Five mice received kanamycin and furosemide and 3 mice received saline. Cochleas were harvested and imaged with scanning thin-sheet laser imaging microscopy (sTSLIM) to analyze sensory cells and cochlea structures.\nResults. The drug-treated animals showed substantial loss of inner hair cells and complete outer hair cell loss. All treated mice showed spiral ganglion neuron loss with fewer neurons than control animals and decreased cell density in the middle turn of the cochlea. The spiral ligament and spiral limbus in the treated animals also showed a decrease in fibrocyte cell density in the middle to apical portion of the cochlea. The stria vascularis appeared normal in all animals.\nConclusion. Imaging methods that allow for whole-cochlea analysis provide insight into changes that occur in the cochlea after ototoxic insult. Trends that may not be apparent in cross-section samples of the cochlea can be observed. Computer analysis of these trends allows them to be assessed accurately.","container-title":"Otolaryngology–Head and Neck Surgery","DOI":"10.1177/0194599813519071","ISSN":"0194-5998, 1097-6817","issue":"4","journalAbbreviation":"Otolaryngol Head Neck Surg","language":"en","note":"PMID: 24415490","page":"666-672","source":"Crossref","title":"Kanamycin-Furosemide Ototoxicity in the Mouse Cochlea: A 3-Dimensional Analysis","title-short":"Kanamycin-Furosemide Ototoxicity in the Mouse Cochlea","volume":"150","author":[{"family":"Schmitz","given":"Heather M."},{"family":"Johnson","given":"Shane B."},{"family":"Santi","given":"Peter A."}],"issued":{"date-parts":[["2014",4]]}}}],"schema":"https://github.com/citation-style-language/schema/raw/master/csl-citation.json"} </w:instrText>
      </w:r>
      <w:r w:rsidR="005C617E" w:rsidRPr="00CC3DB5">
        <w:rPr>
          <w:sz w:val="22"/>
          <w:szCs w:val="22"/>
          <w:lang w:eastAsia="en-GB"/>
        </w:rPr>
        <w:fldChar w:fldCharType="separate"/>
      </w:r>
      <w:r w:rsidR="00ED72E6" w:rsidRPr="00CC3DB5">
        <w:rPr>
          <w:sz w:val="22"/>
        </w:rPr>
        <w:t>(</w:t>
      </w:r>
      <w:r w:rsidR="00ED72E6" w:rsidRPr="00CC3DB5">
        <w:rPr>
          <w:i/>
          <w:iCs/>
          <w:sz w:val="22"/>
        </w:rPr>
        <w:t>32</w:t>
      </w:r>
      <w:r w:rsidR="00ED72E6" w:rsidRPr="00CC3DB5">
        <w:rPr>
          <w:sz w:val="22"/>
        </w:rPr>
        <w:t xml:space="preserve">, </w:t>
      </w:r>
      <w:r w:rsidR="00ED72E6" w:rsidRPr="00CC3DB5">
        <w:rPr>
          <w:i/>
          <w:iCs/>
          <w:sz w:val="22"/>
        </w:rPr>
        <w:t>33</w:t>
      </w:r>
      <w:r w:rsidR="00ED72E6" w:rsidRPr="00CC3DB5">
        <w:rPr>
          <w:sz w:val="22"/>
        </w:rPr>
        <w:t>)</w:t>
      </w:r>
      <w:r w:rsidR="005C617E" w:rsidRPr="00CC3DB5">
        <w:rPr>
          <w:sz w:val="22"/>
          <w:szCs w:val="22"/>
          <w:lang w:eastAsia="en-GB"/>
        </w:rPr>
        <w:fldChar w:fldCharType="end"/>
      </w:r>
      <w:r w:rsidRPr="00CC3DB5">
        <w:rPr>
          <w:sz w:val="22"/>
          <w:szCs w:val="22"/>
          <w:lang w:eastAsia="en-GB"/>
        </w:rPr>
        <w:t>, each of them approximately 9 µm in diameter. H</w:t>
      </w:r>
      <w:r w:rsidR="003D18E2" w:rsidRPr="00CC3DB5">
        <w:rPr>
          <w:sz w:val="22"/>
          <w:szCs w:val="22"/>
          <w:lang w:eastAsia="en-GB"/>
        </w:rPr>
        <w:t>ere</w:t>
      </w:r>
      <w:r w:rsidRPr="00CC3DB5">
        <w:rPr>
          <w:sz w:val="22"/>
          <w:szCs w:val="22"/>
          <w:lang w:eastAsia="en-GB"/>
        </w:rPr>
        <w:t xml:space="preserve">, </w:t>
      </w:r>
      <w:r w:rsidR="003D18E2" w:rsidRPr="00CC3DB5">
        <w:rPr>
          <w:sz w:val="22"/>
          <w:szCs w:val="22"/>
          <w:lang w:eastAsia="en-GB"/>
        </w:rPr>
        <w:t>assuming</w:t>
      </w:r>
      <w:r w:rsidR="00DD2F5F" w:rsidRPr="00CC3DB5">
        <w:rPr>
          <w:sz w:val="22"/>
          <w:szCs w:val="22"/>
          <w:lang w:eastAsia="en-GB"/>
        </w:rPr>
        <w:t xml:space="preserve"> the above parameters being</w:t>
      </w:r>
      <w:r w:rsidR="003D18E2" w:rsidRPr="00CC3DB5">
        <w:rPr>
          <w:sz w:val="22"/>
          <w:szCs w:val="22"/>
          <w:lang w:eastAsia="en-GB"/>
        </w:rPr>
        <w:t xml:space="preserve"> 6.5 mm, 5 octaves and 700 IHCs</w:t>
      </w:r>
      <w:r w:rsidR="0035659F" w:rsidRPr="00CC3DB5">
        <w:rPr>
          <w:sz w:val="22"/>
          <w:szCs w:val="22"/>
          <w:lang w:eastAsia="en-GB"/>
        </w:rPr>
        <w:t xml:space="preserve"> (i.e. 9.3 µm per IHC)</w:t>
      </w:r>
      <w:r w:rsidR="003D18E2" w:rsidRPr="00CC3DB5">
        <w:rPr>
          <w:sz w:val="22"/>
          <w:szCs w:val="22"/>
          <w:lang w:eastAsia="en-GB"/>
        </w:rPr>
        <w:t xml:space="preserve"> we calculate that the average </w:t>
      </w:r>
      <w:r w:rsidRPr="00CC3DB5">
        <w:rPr>
          <w:sz w:val="22"/>
          <w:szCs w:val="22"/>
          <w:lang w:eastAsia="en-GB"/>
        </w:rPr>
        <w:t>mini</w:t>
      </w:r>
      <w:r w:rsidR="003D18E2" w:rsidRPr="00CC3DB5">
        <w:rPr>
          <w:sz w:val="22"/>
          <w:szCs w:val="22"/>
          <w:lang w:eastAsia="en-GB"/>
        </w:rPr>
        <w:t>-syncytium (</w:t>
      </w:r>
      <w:r w:rsidR="0035659F" w:rsidRPr="00CC3DB5">
        <w:rPr>
          <w:sz w:val="22"/>
          <w:szCs w:val="22"/>
          <w:lang w:eastAsia="en-GB"/>
        </w:rPr>
        <w:t>27.9</w:t>
      </w:r>
      <w:r w:rsidRPr="00CC3DB5">
        <w:rPr>
          <w:sz w:val="22"/>
          <w:szCs w:val="22"/>
          <w:lang w:eastAsia="en-GB"/>
        </w:rPr>
        <w:t xml:space="preserve"> µm</w:t>
      </w:r>
      <w:r w:rsidR="0035659F" w:rsidRPr="00CC3DB5">
        <w:rPr>
          <w:sz w:val="22"/>
          <w:szCs w:val="22"/>
          <w:lang w:eastAsia="en-GB"/>
        </w:rPr>
        <w:t>) covers</w:t>
      </w:r>
      <w:r w:rsidRPr="00CC3DB5">
        <w:rPr>
          <w:sz w:val="22"/>
          <w:szCs w:val="22"/>
          <w:lang w:eastAsia="en-GB"/>
        </w:rPr>
        <w:t xml:space="preserve"> 0.4</w:t>
      </w:r>
      <w:r w:rsidR="0035659F" w:rsidRPr="00CC3DB5">
        <w:rPr>
          <w:sz w:val="22"/>
          <w:szCs w:val="22"/>
          <w:lang w:eastAsia="en-GB"/>
        </w:rPr>
        <w:t>3</w:t>
      </w:r>
      <w:r w:rsidRPr="00CC3DB5">
        <w:rPr>
          <w:sz w:val="22"/>
          <w:szCs w:val="22"/>
          <w:lang w:eastAsia="en-GB"/>
        </w:rPr>
        <w:t>% of the length or 0.0</w:t>
      </w:r>
      <w:r w:rsidR="00D57ECA" w:rsidRPr="00CC3DB5">
        <w:rPr>
          <w:sz w:val="22"/>
          <w:szCs w:val="22"/>
          <w:lang w:eastAsia="en-GB"/>
        </w:rPr>
        <w:t>2</w:t>
      </w:r>
      <w:r w:rsidR="002E6251" w:rsidRPr="00CC3DB5">
        <w:rPr>
          <w:sz w:val="22"/>
          <w:szCs w:val="22"/>
          <w:lang w:eastAsia="en-GB"/>
        </w:rPr>
        <w:t xml:space="preserve"> </w:t>
      </w:r>
      <w:r w:rsidRPr="00CC3DB5">
        <w:rPr>
          <w:sz w:val="22"/>
          <w:szCs w:val="22"/>
          <w:lang w:eastAsia="en-GB"/>
        </w:rPr>
        <w:t>octaves. In the most extreme case</w:t>
      </w:r>
      <w:r w:rsidR="00991668" w:rsidRPr="00CC3DB5">
        <w:rPr>
          <w:sz w:val="22"/>
          <w:szCs w:val="22"/>
          <w:lang w:eastAsia="en-GB"/>
        </w:rPr>
        <w:t xml:space="preserve"> observed</w:t>
      </w:r>
      <w:r w:rsidRPr="00CC3DB5">
        <w:rPr>
          <w:sz w:val="22"/>
          <w:szCs w:val="22"/>
          <w:lang w:eastAsia="en-GB"/>
        </w:rPr>
        <w:t>, i.e. the largest block (9 IHCs</w:t>
      </w:r>
      <w:r w:rsidR="00991668" w:rsidRPr="00CC3DB5">
        <w:rPr>
          <w:sz w:val="22"/>
          <w:szCs w:val="22"/>
          <w:lang w:eastAsia="en-GB"/>
        </w:rPr>
        <w:t>, 83.7 µm</w:t>
      </w:r>
      <w:r w:rsidRPr="00CC3DB5">
        <w:rPr>
          <w:sz w:val="22"/>
          <w:szCs w:val="22"/>
          <w:lang w:eastAsia="en-GB"/>
        </w:rPr>
        <w:t xml:space="preserve">) would </w:t>
      </w:r>
      <w:r w:rsidR="00991668" w:rsidRPr="00CC3DB5">
        <w:rPr>
          <w:sz w:val="22"/>
          <w:szCs w:val="22"/>
          <w:lang w:eastAsia="en-GB"/>
        </w:rPr>
        <w:t xml:space="preserve">cover </w:t>
      </w:r>
      <w:r w:rsidR="0047122B" w:rsidRPr="00CC3DB5">
        <w:rPr>
          <w:sz w:val="22"/>
          <w:szCs w:val="22"/>
          <w:lang w:eastAsia="en-GB"/>
        </w:rPr>
        <w:t>approximately 1.29</w:t>
      </w:r>
      <w:r w:rsidRPr="00CC3DB5">
        <w:rPr>
          <w:sz w:val="22"/>
          <w:szCs w:val="22"/>
          <w:lang w:eastAsia="en-GB"/>
        </w:rPr>
        <w:t xml:space="preserve">% of the length or 0.06 octaves. </w:t>
      </w:r>
    </w:p>
    <w:p w14:paraId="410E999F" w14:textId="1F7A3596" w:rsidR="00B37CFE" w:rsidRPr="00CC3DB5" w:rsidRDefault="002C3791" w:rsidP="0057493F">
      <w:pPr>
        <w:ind w:firstLine="720"/>
        <w:jc w:val="both"/>
        <w:rPr>
          <w:sz w:val="22"/>
          <w:szCs w:val="22"/>
          <w:lang w:eastAsia="en-GB"/>
        </w:rPr>
      </w:pPr>
      <w:r w:rsidRPr="00CC3DB5">
        <w:rPr>
          <w:sz w:val="22"/>
          <w:szCs w:val="22"/>
          <w:lang w:eastAsia="en-GB"/>
        </w:rPr>
        <w:t>Next</w:t>
      </w:r>
      <w:r w:rsidR="005B0AE7" w:rsidRPr="00CC3DB5">
        <w:rPr>
          <w:sz w:val="22"/>
          <w:szCs w:val="22"/>
          <w:lang w:eastAsia="en-GB"/>
        </w:rPr>
        <w:t>,</w:t>
      </w:r>
      <w:r w:rsidRPr="00CC3DB5">
        <w:rPr>
          <w:sz w:val="22"/>
          <w:szCs w:val="22"/>
          <w:lang w:eastAsia="en-GB"/>
        </w:rPr>
        <w:t xml:space="preserve"> we c</w:t>
      </w:r>
      <w:r w:rsidR="00061B34" w:rsidRPr="00CC3DB5">
        <w:rPr>
          <w:sz w:val="22"/>
          <w:szCs w:val="22"/>
          <w:lang w:eastAsia="en-GB"/>
        </w:rPr>
        <w:t>ompar</w:t>
      </w:r>
      <w:r w:rsidRPr="00CC3DB5">
        <w:rPr>
          <w:sz w:val="22"/>
          <w:szCs w:val="22"/>
          <w:lang w:eastAsia="en-GB"/>
        </w:rPr>
        <w:t>e</w:t>
      </w:r>
      <w:r w:rsidR="005B0AE7" w:rsidRPr="00CC3DB5">
        <w:rPr>
          <w:sz w:val="22"/>
          <w:szCs w:val="22"/>
          <w:lang w:eastAsia="en-GB"/>
        </w:rPr>
        <w:t>d</w:t>
      </w:r>
      <w:r w:rsidR="00061B34" w:rsidRPr="00CC3DB5">
        <w:rPr>
          <w:sz w:val="22"/>
          <w:szCs w:val="22"/>
          <w:lang w:eastAsia="en-GB"/>
        </w:rPr>
        <w:t xml:space="preserve"> those estimates to the physiological estimates of frequency resolution at the level of the basi</w:t>
      </w:r>
      <w:r w:rsidRPr="00CC3DB5">
        <w:rPr>
          <w:sz w:val="22"/>
          <w:szCs w:val="22"/>
          <w:lang w:eastAsia="en-GB"/>
        </w:rPr>
        <w:t>lar membrane and auditory nerve</w:t>
      </w:r>
      <w:r w:rsidR="005B0AE7" w:rsidRPr="00CC3DB5">
        <w:rPr>
          <w:sz w:val="22"/>
          <w:szCs w:val="22"/>
          <w:lang w:eastAsia="en-GB"/>
        </w:rPr>
        <w:t xml:space="preserve"> </w:t>
      </w:r>
      <w:proofErr w:type="spellStart"/>
      <w:r w:rsidR="005B0AE7" w:rsidRPr="00CC3DB5">
        <w:rPr>
          <w:sz w:val="22"/>
          <w:szCs w:val="22"/>
          <w:lang w:eastAsia="en-GB"/>
        </w:rPr>
        <w:t>fibers</w:t>
      </w:r>
      <w:proofErr w:type="spellEnd"/>
      <w:r w:rsidR="005B0AE7" w:rsidRPr="00CC3DB5">
        <w:rPr>
          <w:sz w:val="22"/>
          <w:szCs w:val="22"/>
          <w:lang w:eastAsia="en-GB"/>
        </w:rPr>
        <w:t>.</w:t>
      </w:r>
      <w:r w:rsidR="00061B34" w:rsidRPr="00CC3DB5">
        <w:rPr>
          <w:sz w:val="22"/>
          <w:szCs w:val="22"/>
          <w:lang w:eastAsia="en-GB"/>
        </w:rPr>
        <w:t xml:space="preserve"> For the basilar membrane, the</w:t>
      </w:r>
      <w:r w:rsidR="00061B34" w:rsidRPr="00CC3DB5">
        <w:t xml:space="preserve"> </w:t>
      </w:r>
      <w:r w:rsidR="00061B34" w:rsidRPr="00CC3DB5">
        <w:rPr>
          <w:sz w:val="22"/>
          <w:szCs w:val="22"/>
          <w:lang w:eastAsia="en-GB"/>
        </w:rPr>
        <w:t>Q10</w:t>
      </w:r>
      <w:r w:rsidR="00594A86" w:rsidRPr="00CC3DB5">
        <w:rPr>
          <w:sz w:val="22"/>
          <w:szCs w:val="22"/>
          <w:lang w:eastAsia="en-GB"/>
        </w:rPr>
        <w:t xml:space="preserve"> </w:t>
      </w:r>
      <w:r w:rsidR="00061B34" w:rsidRPr="00CC3DB5">
        <w:rPr>
          <w:sz w:val="22"/>
          <w:szCs w:val="22"/>
          <w:lang w:eastAsia="en-GB"/>
        </w:rPr>
        <w:t>dB (characteristic frequency of basilar membrane displacement</w:t>
      </w:r>
      <w:r w:rsidR="00C5362B" w:rsidRPr="00CC3DB5">
        <w:rPr>
          <w:sz w:val="22"/>
          <w:szCs w:val="22"/>
          <w:lang w:eastAsia="en-GB"/>
        </w:rPr>
        <w:t xml:space="preserve"> at threshold, i.e. </w:t>
      </w:r>
      <w:r w:rsidR="00061B34" w:rsidRPr="00CC3DB5">
        <w:rPr>
          <w:sz w:val="22"/>
          <w:szCs w:val="22"/>
          <w:lang w:eastAsia="en-GB"/>
        </w:rPr>
        <w:t>the frequency for which the least sound pressure is requ</w:t>
      </w:r>
      <w:r w:rsidR="00C5362B" w:rsidRPr="00CC3DB5">
        <w:rPr>
          <w:sz w:val="22"/>
          <w:szCs w:val="22"/>
          <w:lang w:eastAsia="en-GB"/>
        </w:rPr>
        <w:t>ired to elicit the displacement,</w:t>
      </w:r>
      <w:r w:rsidR="005B0AE7" w:rsidRPr="00CC3DB5">
        <w:rPr>
          <w:sz w:val="22"/>
          <w:szCs w:val="22"/>
          <w:lang w:eastAsia="en-GB"/>
        </w:rPr>
        <w:t xml:space="preserve"> divided by the </w:t>
      </w:r>
      <w:r w:rsidR="00061B34" w:rsidRPr="00CC3DB5">
        <w:rPr>
          <w:sz w:val="22"/>
          <w:szCs w:val="22"/>
          <w:lang w:eastAsia="en-GB"/>
        </w:rPr>
        <w:t xml:space="preserve">bandwidth </w:t>
      </w:r>
      <w:r w:rsidR="005B0AE7" w:rsidRPr="00CC3DB5">
        <w:rPr>
          <w:sz w:val="22"/>
          <w:szCs w:val="22"/>
          <w:lang w:eastAsia="en-GB"/>
        </w:rPr>
        <w:t xml:space="preserve">at </w:t>
      </w:r>
      <w:r w:rsidR="00061B34" w:rsidRPr="00CC3DB5">
        <w:rPr>
          <w:sz w:val="22"/>
          <w:szCs w:val="22"/>
          <w:lang w:eastAsia="en-GB"/>
        </w:rPr>
        <w:t xml:space="preserve">10 dB </w:t>
      </w:r>
      <w:r w:rsidR="005B0AE7" w:rsidRPr="00CC3DB5">
        <w:rPr>
          <w:sz w:val="22"/>
          <w:szCs w:val="22"/>
          <w:lang w:eastAsia="en-GB"/>
        </w:rPr>
        <w:t>above</w:t>
      </w:r>
      <w:r w:rsidR="00061B34" w:rsidRPr="00CC3DB5">
        <w:rPr>
          <w:sz w:val="22"/>
          <w:szCs w:val="22"/>
          <w:lang w:eastAsia="en-GB"/>
        </w:rPr>
        <w:t xml:space="preserve"> threshold) amounts to </w:t>
      </w:r>
      <w:r w:rsidR="002D6AC9" w:rsidRPr="00CC3DB5">
        <w:rPr>
          <w:sz w:val="22"/>
          <w:szCs w:val="22"/>
          <w:lang w:eastAsia="en-GB"/>
        </w:rPr>
        <w:t>8.7</w:t>
      </w:r>
      <w:r w:rsidR="00492603" w:rsidRPr="00CC3DB5">
        <w:rPr>
          <w:sz w:val="22"/>
          <w:szCs w:val="22"/>
          <w:lang w:eastAsia="en-GB"/>
        </w:rPr>
        <w:t xml:space="preserve"> </w:t>
      </w:r>
      <w:r w:rsidR="002D6AC9" w:rsidRPr="00CC3DB5">
        <w:rPr>
          <w:sz w:val="22"/>
          <w:szCs w:val="22"/>
          <w:lang w:eastAsia="en-GB"/>
        </w:rPr>
        <w:t>±</w:t>
      </w:r>
      <w:r w:rsidR="00492603" w:rsidRPr="00CC3DB5">
        <w:rPr>
          <w:sz w:val="22"/>
          <w:szCs w:val="22"/>
          <w:lang w:eastAsia="en-GB"/>
        </w:rPr>
        <w:t xml:space="preserve"> </w:t>
      </w:r>
      <w:r w:rsidR="002D6AC9" w:rsidRPr="00CC3DB5">
        <w:rPr>
          <w:sz w:val="22"/>
          <w:szCs w:val="22"/>
          <w:lang w:eastAsia="en-GB"/>
        </w:rPr>
        <w:t xml:space="preserve">4.3 </w:t>
      </w:r>
      <w:r w:rsidR="00061B34" w:rsidRPr="00CC3DB5">
        <w:rPr>
          <w:sz w:val="22"/>
          <w:szCs w:val="22"/>
          <w:lang w:eastAsia="en-GB"/>
        </w:rPr>
        <w:t xml:space="preserve">in the high frequency range of the cochlea of CBA/J mice (50-56 kHz, </w:t>
      </w:r>
      <w:r w:rsidR="00061B34" w:rsidRPr="00CC3DB5">
        <w:rPr>
          <w:sz w:val="22"/>
          <w:szCs w:val="22"/>
          <w:lang w:eastAsia="en-GB"/>
        </w:rPr>
        <w:lastRenderedPageBreak/>
        <w:fldChar w:fldCharType="begin"/>
      </w:r>
      <w:r w:rsidR="00ED72E6" w:rsidRPr="00CC3DB5">
        <w:rPr>
          <w:sz w:val="22"/>
          <w:szCs w:val="22"/>
          <w:lang w:eastAsia="en-GB"/>
        </w:rPr>
        <w:instrText xml:space="preserve"> ADDIN ZOTERO_ITEM CSL_CITATION {"citationID":"sAZC6Cm3","properties":{"formattedCitation":"({\\i{}36})","plainCitation":"(36)","noteIndex":0},"citationItems":[{"id":15134,"uris":["http://zotero.org/users/598743/items/QXRIZN2R"],"uri":["http://zotero.org/users/598743/items/QXRIZN2R"],"itemData":{"id":15134,"type":"article-journal","abstract":"A point mutation in the gap-junction protein connexin 30 stops early onset age-related hearing loss. Here, the authors show that gap junctions contribute to cochlear micromechanics and that cochlear amplification is likely controlled by extracellular potentials in vicinity of the cochlear sensory cells.","container-title":"Nature Communications","DOI":"10.1038/ncomms14530","ISSN":"2041-1723","language":"en","page":"14530","source":"www.nature.com","title":"A connexin30 mutation rescues hearing and reveals roles for gap junctions in cochlear amplification and micromechanics","volume":"8","author":[{"family":"Lukashkina","given":"Victoria A."},{"family":"Levic","given":"Snezana"},{"family":"Lukashkin","given":"Andrei N."},{"family":"Strenzke","given":"Nicola"},{"family":"Russell","given":"Ian J."}],"issued":{"date-parts":[["2017",2,21]]}}}],"schema":"https://github.com/citation-style-language/schema/raw/master/csl-citation.json"} </w:instrText>
      </w:r>
      <w:r w:rsidR="00061B34" w:rsidRPr="00CC3DB5">
        <w:rPr>
          <w:sz w:val="22"/>
          <w:szCs w:val="22"/>
          <w:lang w:eastAsia="en-GB"/>
        </w:rPr>
        <w:fldChar w:fldCharType="separate"/>
      </w:r>
      <w:r w:rsidR="00ED72E6" w:rsidRPr="00CC3DB5">
        <w:rPr>
          <w:sz w:val="22"/>
        </w:rPr>
        <w:t>(</w:t>
      </w:r>
      <w:r w:rsidR="00ED72E6" w:rsidRPr="00CC3DB5">
        <w:rPr>
          <w:i/>
          <w:iCs/>
          <w:sz w:val="22"/>
        </w:rPr>
        <w:t>36</w:t>
      </w:r>
      <w:r w:rsidR="00ED72E6" w:rsidRPr="00CC3DB5">
        <w:rPr>
          <w:sz w:val="22"/>
        </w:rPr>
        <w:t>)</w:t>
      </w:r>
      <w:r w:rsidR="00061B34" w:rsidRPr="00CC3DB5">
        <w:rPr>
          <w:sz w:val="22"/>
          <w:szCs w:val="22"/>
          <w:lang w:eastAsia="en-GB"/>
        </w:rPr>
        <w:fldChar w:fldCharType="end"/>
      </w:r>
      <w:r w:rsidR="00061B34" w:rsidRPr="00CC3DB5">
        <w:rPr>
          <w:sz w:val="22"/>
          <w:szCs w:val="22"/>
          <w:lang w:eastAsia="en-GB"/>
        </w:rPr>
        <w:t xml:space="preserve">). This reflects a bandwidth at the level of the basilar membrane of </w:t>
      </w:r>
      <w:r w:rsidR="009630C1" w:rsidRPr="00CC3DB5">
        <w:rPr>
          <w:sz w:val="22"/>
          <w:szCs w:val="22"/>
          <w:lang w:eastAsia="en-GB"/>
        </w:rPr>
        <w:t xml:space="preserve">approximately </w:t>
      </w:r>
      <w:r w:rsidR="00061B34" w:rsidRPr="00CC3DB5">
        <w:rPr>
          <w:sz w:val="22"/>
          <w:szCs w:val="22"/>
          <w:lang w:eastAsia="en-GB"/>
        </w:rPr>
        <w:t>5.</w:t>
      </w:r>
      <w:r w:rsidR="009630C1" w:rsidRPr="00CC3DB5">
        <w:rPr>
          <w:sz w:val="22"/>
          <w:szCs w:val="22"/>
          <w:lang w:eastAsia="en-GB"/>
        </w:rPr>
        <w:t>75</w:t>
      </w:r>
      <w:r w:rsidR="00445D87" w:rsidRPr="00CC3DB5">
        <w:rPr>
          <w:sz w:val="22"/>
          <w:szCs w:val="22"/>
          <w:lang w:eastAsia="en-GB"/>
        </w:rPr>
        <w:t xml:space="preserve"> </w:t>
      </w:r>
      <w:r w:rsidR="00D11EBC" w:rsidRPr="00CC3DB5">
        <w:rPr>
          <w:sz w:val="22"/>
          <w:szCs w:val="22"/>
          <w:lang w:eastAsia="en-GB"/>
        </w:rPr>
        <w:t>k</w:t>
      </w:r>
      <w:r w:rsidR="00445D87" w:rsidRPr="00CC3DB5">
        <w:rPr>
          <w:sz w:val="22"/>
          <w:szCs w:val="22"/>
          <w:lang w:eastAsia="en-GB"/>
        </w:rPr>
        <w:t>Hz at 50 kHz or 0.</w:t>
      </w:r>
      <w:r w:rsidR="00D00A11" w:rsidRPr="00CC3DB5">
        <w:rPr>
          <w:sz w:val="22"/>
          <w:szCs w:val="22"/>
          <w:lang w:eastAsia="en-GB"/>
        </w:rPr>
        <w:t>17</w:t>
      </w:r>
      <w:r w:rsidR="00445D87" w:rsidRPr="00CC3DB5">
        <w:rPr>
          <w:sz w:val="22"/>
          <w:szCs w:val="22"/>
          <w:lang w:eastAsia="en-GB"/>
        </w:rPr>
        <w:t xml:space="preserve"> octaves, </w:t>
      </w:r>
      <w:r w:rsidR="00C1605C" w:rsidRPr="00CC3DB5">
        <w:rPr>
          <w:sz w:val="22"/>
          <w:szCs w:val="22"/>
          <w:lang w:eastAsia="en-GB"/>
        </w:rPr>
        <w:t xml:space="preserve">approximately </w:t>
      </w:r>
      <w:r w:rsidR="00445D87" w:rsidRPr="00CC3DB5">
        <w:rPr>
          <w:sz w:val="22"/>
          <w:szCs w:val="22"/>
          <w:lang w:eastAsia="en-GB"/>
        </w:rPr>
        <w:t>3-times</w:t>
      </w:r>
      <w:r w:rsidR="00061B34" w:rsidRPr="00CC3DB5">
        <w:rPr>
          <w:sz w:val="22"/>
          <w:szCs w:val="22"/>
          <w:lang w:eastAsia="en-GB"/>
        </w:rPr>
        <w:t xml:space="preserve"> larger than the frequency range that is represented by the largest obs</w:t>
      </w:r>
      <w:r w:rsidR="00B37CFE" w:rsidRPr="00CC3DB5">
        <w:rPr>
          <w:sz w:val="22"/>
          <w:szCs w:val="22"/>
          <w:lang w:eastAsia="en-GB"/>
        </w:rPr>
        <w:t>erved syncytium (0.06 octaves).</w:t>
      </w:r>
    </w:p>
    <w:p w14:paraId="0812EF69" w14:textId="19C5EF5D" w:rsidR="00061B34" w:rsidRPr="00CC3DB5" w:rsidRDefault="00061B34" w:rsidP="00B37CFE">
      <w:pPr>
        <w:ind w:firstLine="720"/>
        <w:jc w:val="both"/>
        <w:rPr>
          <w:sz w:val="22"/>
          <w:szCs w:val="22"/>
          <w:lang w:eastAsia="en-GB"/>
        </w:rPr>
      </w:pPr>
      <w:r w:rsidRPr="00CC3DB5">
        <w:rPr>
          <w:sz w:val="22"/>
          <w:szCs w:val="22"/>
          <w:lang w:eastAsia="en-GB"/>
        </w:rPr>
        <w:t xml:space="preserve">The quality of frequency tuning of auditory nerve </w:t>
      </w:r>
      <w:proofErr w:type="spellStart"/>
      <w:r w:rsidRPr="00CC3DB5">
        <w:rPr>
          <w:sz w:val="22"/>
          <w:szCs w:val="22"/>
          <w:lang w:eastAsia="en-GB"/>
        </w:rPr>
        <w:t>fibers</w:t>
      </w:r>
      <w:proofErr w:type="spellEnd"/>
      <w:r w:rsidRPr="00CC3DB5">
        <w:rPr>
          <w:sz w:val="22"/>
          <w:szCs w:val="22"/>
          <w:lang w:eastAsia="en-GB"/>
        </w:rPr>
        <w:t xml:space="preserve"> quantified as Q10dB (ratio o</w:t>
      </w:r>
      <w:r w:rsidR="00C5362B" w:rsidRPr="00CC3DB5">
        <w:rPr>
          <w:sz w:val="22"/>
          <w:szCs w:val="22"/>
          <w:lang w:eastAsia="en-GB"/>
        </w:rPr>
        <w:t>f the characteristic frequency at threshold, i</w:t>
      </w:r>
      <w:r w:rsidR="007B6D9B" w:rsidRPr="00CC3DB5">
        <w:rPr>
          <w:sz w:val="22"/>
          <w:szCs w:val="22"/>
          <w:lang w:eastAsia="en-GB"/>
        </w:rPr>
        <w:t>.</w:t>
      </w:r>
      <w:r w:rsidR="00C5362B" w:rsidRPr="00CC3DB5">
        <w:rPr>
          <w:sz w:val="22"/>
          <w:szCs w:val="22"/>
          <w:lang w:eastAsia="en-GB"/>
        </w:rPr>
        <w:t xml:space="preserve">e. </w:t>
      </w:r>
      <w:r w:rsidRPr="00CC3DB5">
        <w:rPr>
          <w:sz w:val="22"/>
          <w:szCs w:val="22"/>
          <w:lang w:eastAsia="en-GB"/>
        </w:rPr>
        <w:t>the frequency for which the least sound pressure is required to increase the firing rate, and the frequency bandwidth of the tuning curve 10 dB above threshold) typically varies between 2 and 12 in the mouse cochlea</w:t>
      </w:r>
      <w:r w:rsidR="00333430" w:rsidRPr="00CC3DB5">
        <w:rPr>
          <w:sz w:val="22"/>
          <w:szCs w:val="22"/>
          <w:lang w:eastAsia="en-GB"/>
        </w:rPr>
        <w:t xml:space="preserve"> </w:t>
      </w:r>
      <w:r w:rsidRPr="00CC3DB5">
        <w:rPr>
          <w:sz w:val="22"/>
          <w:szCs w:val="22"/>
          <w:lang w:eastAsia="en-GB"/>
        </w:rPr>
        <w:fldChar w:fldCharType="begin"/>
      </w:r>
      <w:r w:rsidR="00ED72E6" w:rsidRPr="00CC3DB5">
        <w:rPr>
          <w:sz w:val="22"/>
          <w:szCs w:val="22"/>
          <w:lang w:eastAsia="en-GB"/>
        </w:rPr>
        <w:instrText xml:space="preserve"> ADDIN ZOTERO_ITEM CSL_CITATION {"citationID":"aNzgo0xU","properties":{"formattedCitation":"({\\i{}26}, {\\i{}31})","plainCitation":"(26, 31)","noteIndex":0},"citationItems":[{"id":5744,"uris":["http://zotero.org/users/598743/items/CFXBZNZA"],"uri":["http://zotero.org/users/598743/items/CFXBZNZA"],"itemData":{"id":5744,"type":"article-journal","abstract":"The availability of transgenic and mutant lines makes the mouse a valuable model for study of the inner ear, and a powerful window into cochlear function can be obtained by recordings from single auditory nerve (AN) fibers. This study provides the first systematic description of spontaneous and sound-evoked discharge properties of AN fibers in mouse, specifically in CBA/CaJ and C57BL/6 strains, both commonly used in auditory research. Response properties of 196 AN fibers from CBA/CaJ and 58 from C57BL/6 were analyzed, including spontaneous rates (SR), tuning curves, rate versus level functions, dynamic range, response adaptation, phase-locking, and the relation between SR and these response properties. The only significant interstrain difference was the elevation of high-frequency thresholds in C57BL/6. In general, mouse AN fibers showed similar responses to other mammals: sharpness of tuning increased with characteristic frequency, which ranged from 2.5 to 70 kHz; SRs ranged from 0 to 120 sp/s, and fibers with low SR (&lt;1 sp/s) had higher thresholds, and wider dynamic ranges than fibers with high SR. Dynamic ranges for mouse high-SR fibers were smaller (&lt;20 dB) than those seen in other mammals. Phase-locking was seen for tone frequencies &lt;4 kHz. Maximum synchronization indices were lower than those in cat but similar to those found in guinea pig.","container-title":"Journal of Neurophysiology","DOI":"10.1152/jn.00574.2004","ISSN":"0022-3077, 1522-1598","issue":"1","journalAbbreviation":"J Neurophysiol","language":"en","page":"557-569","source":"jn.physiology.org","title":"Response Properties of Single Auditory Nerve Fibers in the Mouse","volume":"93","author":[{"family":"Taberner","given":"Annette M"},{"family":"Liberman","given":"M. Charles"}],"issued":{"date-parts":[["2005",1,1]]}}},{"id":9377,"uris":["http://zotero.org/users/598743/items/GQ4GPU25"],"uri":["http://zotero.org/users/598743/items/GQ4GPU25"],"itemData":{"id":9377,"type":"article-journal","abstract":"Synaptic ribbons, found at the presynaptic membrane of sensory cells in both ear and eye, have been implicated in the vesicle-pool dynamics of synaptic transmission. To elucidate ribbon function, we characterized the response properties of single auditory nerve fibers in mice lacking Bassoon, a scaffolding protein involved in anchoring ribbons to the membrane. In bassoon mutants, immunohistochemistry showed that fewer than 3% of the hair cells' afferent synapses retained anchored ribbons. Auditory nerve fibers from mutants had normal threshold, dynamic range, and postonset adaptation in response to tone bursts, and they were able to phase lock with normal precision to amplitude-modulated tones. However, spontaneous and sound-evoked discharge rates were reduced, and the reliability of spikes, particularly at stimulus onset, was significantly degraded as shown by an increased variance of first-spike latencies. Modeling based on in vitro studies of normal and mutant hair cells links these findings to reduced release rates at the synapse. The degradation of response reliability in these mutants suggests that the ribbon and/or Bassoon normally facilitate high rates of exocytosis and that its absence significantly compromises the temporal resolving power of the auditory system.","container-title":"The Journal of Neuroscience: The Official Journal of the Society for Neuroscience","DOI":"10.1523/JNEUROSCI.0389-10.2010","ISSN":"1529-2401","issue":"22","journalAbbreviation":"J. Neurosci.","language":"eng","note":"PMID: 20519533 \nPMCID: PMC2901931","page":"7587-7597","source":"NCBI PubMed","title":"Onset coding is degraded in auditory nerve fibers from mutant mice lacking synaptic ribbons","volume":"30","author":[{"family":"Buran","given":"Bradley N."},{"family":"Strenzke","given":"Nicola"},{"family":"Neef","given":"Andreas"},{"family":"Gundelfinger","given":"Eckart D."},{"family":"Moser","given":"Tobias"},{"family":"Liberman","given":"M. Charles"}],"issued":{"date-parts":[["2010",6,2]]}}}],"schema":"https://github.com/citation-style-language/schema/raw/master/csl-citation.json"} </w:instrText>
      </w:r>
      <w:r w:rsidRPr="00CC3DB5">
        <w:rPr>
          <w:sz w:val="22"/>
          <w:szCs w:val="22"/>
          <w:lang w:eastAsia="en-GB"/>
        </w:rPr>
        <w:fldChar w:fldCharType="separate"/>
      </w:r>
      <w:r w:rsidR="00ED72E6" w:rsidRPr="00CC3DB5">
        <w:rPr>
          <w:sz w:val="22"/>
        </w:rPr>
        <w:t>(</w:t>
      </w:r>
      <w:r w:rsidR="00ED72E6" w:rsidRPr="00CC3DB5">
        <w:rPr>
          <w:i/>
          <w:iCs/>
          <w:sz w:val="22"/>
        </w:rPr>
        <w:t>26</w:t>
      </w:r>
      <w:r w:rsidR="00ED72E6" w:rsidRPr="00CC3DB5">
        <w:rPr>
          <w:sz w:val="22"/>
        </w:rPr>
        <w:t xml:space="preserve">, </w:t>
      </w:r>
      <w:r w:rsidR="00ED72E6" w:rsidRPr="00CC3DB5">
        <w:rPr>
          <w:i/>
          <w:iCs/>
          <w:sz w:val="22"/>
        </w:rPr>
        <w:t>31</w:t>
      </w:r>
      <w:r w:rsidR="00ED72E6" w:rsidRPr="00CC3DB5">
        <w:rPr>
          <w:sz w:val="22"/>
        </w:rPr>
        <w:t>)</w:t>
      </w:r>
      <w:r w:rsidRPr="00CC3DB5">
        <w:rPr>
          <w:sz w:val="22"/>
          <w:szCs w:val="22"/>
          <w:lang w:eastAsia="en-GB"/>
        </w:rPr>
        <w:fldChar w:fldCharType="end"/>
      </w:r>
      <w:r w:rsidR="00333430" w:rsidRPr="00CC3DB5">
        <w:rPr>
          <w:sz w:val="22"/>
          <w:szCs w:val="22"/>
          <w:lang w:eastAsia="en-GB"/>
        </w:rPr>
        <w:t>, Fig. S13)</w:t>
      </w:r>
      <w:r w:rsidRPr="00CC3DB5">
        <w:rPr>
          <w:sz w:val="22"/>
          <w:szCs w:val="22"/>
          <w:lang w:eastAsia="en-GB"/>
        </w:rPr>
        <w:t xml:space="preserve">. </w:t>
      </w:r>
      <w:r w:rsidR="00265C3E" w:rsidRPr="00CC3DB5">
        <w:rPr>
          <w:sz w:val="22"/>
          <w:szCs w:val="22"/>
          <w:lang w:eastAsia="en-GB"/>
        </w:rPr>
        <w:t xml:space="preserve">In the characteristic frequency range from 8 </w:t>
      </w:r>
      <w:r w:rsidRPr="00CC3DB5">
        <w:rPr>
          <w:sz w:val="22"/>
          <w:szCs w:val="22"/>
          <w:lang w:eastAsia="en-GB"/>
        </w:rPr>
        <w:t xml:space="preserve">kHz </w:t>
      </w:r>
      <w:r w:rsidR="00265C3E" w:rsidRPr="00CC3DB5">
        <w:rPr>
          <w:sz w:val="22"/>
          <w:szCs w:val="22"/>
          <w:lang w:eastAsia="en-GB"/>
        </w:rPr>
        <w:t xml:space="preserve">to </w:t>
      </w:r>
      <w:r w:rsidR="00445D87" w:rsidRPr="00CC3DB5">
        <w:rPr>
          <w:sz w:val="22"/>
          <w:szCs w:val="22"/>
          <w:lang w:eastAsia="en-GB"/>
        </w:rPr>
        <w:t>16 kHz</w:t>
      </w:r>
      <w:r w:rsidRPr="00CC3DB5">
        <w:rPr>
          <w:sz w:val="22"/>
          <w:szCs w:val="22"/>
          <w:lang w:eastAsia="en-GB"/>
        </w:rPr>
        <w:t>, for which we directly demonstrated IHC-coupling</w:t>
      </w:r>
      <w:r w:rsidR="005B0AE7" w:rsidRPr="00CC3DB5">
        <w:rPr>
          <w:sz w:val="22"/>
          <w:szCs w:val="22"/>
          <w:lang w:eastAsia="en-GB"/>
        </w:rPr>
        <w:t xml:space="preserve"> in</w:t>
      </w:r>
      <w:r w:rsidR="008A31A7" w:rsidRPr="00CC3DB5">
        <w:rPr>
          <w:sz w:val="22"/>
          <w:szCs w:val="22"/>
          <w:lang w:eastAsia="en-GB"/>
        </w:rPr>
        <w:t xml:space="preserve"> young </w:t>
      </w:r>
      <w:r w:rsidR="00866C26" w:rsidRPr="00CC3DB5">
        <w:rPr>
          <w:sz w:val="22"/>
          <w:szCs w:val="22"/>
          <w:lang w:eastAsia="en-GB"/>
        </w:rPr>
        <w:t>C57Bl</w:t>
      </w:r>
      <w:r w:rsidR="008A31A7" w:rsidRPr="00CC3DB5">
        <w:rPr>
          <w:sz w:val="22"/>
          <w:szCs w:val="22"/>
          <w:lang w:eastAsia="en-GB"/>
        </w:rPr>
        <w:t>/6J</w:t>
      </w:r>
      <w:r w:rsidR="005B0AE7" w:rsidRPr="00CC3DB5">
        <w:rPr>
          <w:sz w:val="22"/>
          <w:szCs w:val="22"/>
          <w:lang w:eastAsia="en-GB"/>
        </w:rPr>
        <w:t xml:space="preserve"> mice</w:t>
      </w:r>
      <w:r w:rsidR="00445D87" w:rsidRPr="00CC3DB5">
        <w:rPr>
          <w:sz w:val="22"/>
          <w:szCs w:val="22"/>
          <w:lang w:eastAsia="en-GB"/>
        </w:rPr>
        <w:t xml:space="preserve">, </w:t>
      </w:r>
      <w:r w:rsidR="008A31A7" w:rsidRPr="00CC3DB5">
        <w:rPr>
          <w:sz w:val="22"/>
          <w:szCs w:val="22"/>
          <w:lang w:eastAsia="en-GB"/>
        </w:rPr>
        <w:t>the average Q10</w:t>
      </w:r>
      <w:r w:rsidR="00594A86" w:rsidRPr="00CC3DB5">
        <w:rPr>
          <w:sz w:val="22"/>
          <w:szCs w:val="22"/>
          <w:lang w:eastAsia="en-GB"/>
        </w:rPr>
        <w:t xml:space="preserve"> </w:t>
      </w:r>
      <w:r w:rsidR="008A31A7" w:rsidRPr="00CC3DB5">
        <w:rPr>
          <w:sz w:val="22"/>
          <w:szCs w:val="22"/>
          <w:lang w:eastAsia="en-GB"/>
        </w:rPr>
        <w:t xml:space="preserve">dB was </w:t>
      </w:r>
      <w:r w:rsidR="002D0326" w:rsidRPr="00CC3DB5">
        <w:rPr>
          <w:sz w:val="22"/>
          <w:szCs w:val="22"/>
          <w:lang w:eastAsia="en-GB"/>
        </w:rPr>
        <w:t xml:space="preserve">approximately 4 </w:t>
      </w:r>
      <w:r w:rsidR="002D0326" w:rsidRPr="00CC3DB5">
        <w:rPr>
          <w:sz w:val="22"/>
          <w:szCs w:val="22"/>
          <w:lang w:eastAsia="en-GB"/>
        </w:rPr>
        <w:fldChar w:fldCharType="begin"/>
      </w:r>
      <w:r w:rsidR="00ED72E6" w:rsidRPr="00CC3DB5">
        <w:rPr>
          <w:sz w:val="22"/>
          <w:szCs w:val="22"/>
          <w:lang w:eastAsia="en-GB"/>
        </w:rPr>
        <w:instrText xml:space="preserve"> ADDIN ZOTERO_ITEM CSL_CITATION {"citationID":"a2bo1hdltk5","properties":{"formattedCitation":"({\\i{}26}, {\\i{}31})","plainCitation":"(26, 31)","noteIndex":0},"citationItems":[{"id":5744,"uris":["http://zotero.org/users/598743/items/CFXBZNZA"],"uri":["http://zotero.org/users/598743/items/CFXBZNZA"],"itemData":{"id":5744,"type":"article-journal","abstract":"The availability of transgenic and mutant lines makes the mouse a valuable model for study of the inner ear, and a powerful window into cochlear function can be obtained by recordings from single auditory nerve (AN) fibers. This study provides the first systematic description of spontaneous and sound-evoked discharge properties of AN fibers in mouse, specifically in CBA/CaJ and C57BL/6 strains, both commonly used in auditory research. Response properties of 196 AN fibers from CBA/CaJ and 58 from C57BL/6 were analyzed, including spontaneous rates (SR), tuning curves, rate versus level functions, dynamic range, response adaptation, phase-locking, and the relation between SR and these response properties. The only significant interstrain difference was the elevation of high-frequency thresholds in C57BL/6. In general, mouse AN fibers showed similar responses to other mammals: sharpness of tuning increased with characteristic frequency, which ranged from 2.5 to 70 kHz; SRs ranged from 0 to 120 sp/s, and fibers with low SR (&lt;1 sp/s) had higher thresholds, and wider dynamic ranges than fibers with high SR. Dynamic ranges for mouse high-SR fibers were smaller (&lt;20 dB) than those seen in other mammals. Phase-locking was seen for tone frequencies &lt;4 kHz. Maximum synchronization indices were lower than those in cat but similar to those found in guinea pig.","container-title":"Journal of Neurophysiology","DOI":"10.1152/jn.00574.2004","ISSN":"0022-3077, 1522-1598","issue":"1","journalAbbreviation":"J Neurophysiol","language":"en","page":"557-569","source":"jn.physiology.org","title":"Response Properties of Single Auditory Nerve Fibers in the Mouse","volume":"93","author":[{"family":"Taberner","given":"Annette M"},{"family":"Liberman","given":"M. Charles"}],"issued":{"date-parts":[["2005",1,1]]}}},{"id":9377,"uris":["http://zotero.org/users/598743/items/GQ4GPU25"],"uri":["http://zotero.org/users/598743/items/GQ4GPU25"],"itemData":{"id":9377,"type":"article-journal","abstract":"Synaptic ribbons, found at the presynaptic membrane of sensory cells in both ear and eye, have been implicated in the vesicle-pool dynamics of synaptic transmission. To elucidate ribbon function, we characterized the response properties of single auditory nerve fibers in mice lacking Bassoon, a scaffolding protein involved in anchoring ribbons to the membrane. In bassoon mutants, immunohistochemistry showed that fewer than 3% of the hair cells' afferent synapses retained anchored ribbons. Auditory nerve fibers from mutants had normal threshold, dynamic range, and postonset adaptation in response to tone bursts, and they were able to phase lock with normal precision to amplitude-modulated tones. However, spontaneous and sound-evoked discharge rates were reduced, and the reliability of spikes, particularly at stimulus onset, was significantly degraded as shown by an increased variance of first-spike latencies. Modeling based on in vitro studies of normal and mutant hair cells links these findings to reduced release rates at the synapse. The degradation of response reliability in these mutants suggests that the ribbon and/or Bassoon normally facilitate high rates of exocytosis and that its absence significantly compromises the temporal resolving power of the auditory system.","container-title":"The Journal of Neuroscience: The Official Journal of the Society for Neuroscience","DOI":"10.1523/JNEUROSCI.0389-10.2010","ISSN":"1529-2401","issue":"22","journalAbbreviation":"J. Neurosci.","language":"eng","note":"PMID: 20519533 \nPMCID: PMC2901931","page":"7587-7597","source":"NCBI PubMed","title":"Onset coding is degraded in auditory nerve fibers from mutant mice lacking synaptic ribbons","volume":"30","author":[{"family":"Buran","given":"Bradley N."},{"family":"Strenzke","given":"Nicola"},{"family":"Neef","given":"Andreas"},{"family":"Gundelfinger","given":"Eckart D."},{"family":"Moser","given":"Tobias"},{"family":"Liberman","given":"M. Charles"}],"issued":{"date-parts":[["2010",6,2]]}}}],"schema":"https://github.com/citation-style-language/schema/raw/master/csl-citation.json"} </w:instrText>
      </w:r>
      <w:r w:rsidR="002D0326" w:rsidRPr="00CC3DB5">
        <w:rPr>
          <w:sz w:val="22"/>
          <w:szCs w:val="22"/>
          <w:lang w:eastAsia="en-GB"/>
        </w:rPr>
        <w:fldChar w:fldCharType="separate"/>
      </w:r>
      <w:r w:rsidR="00ED72E6" w:rsidRPr="00CC3DB5">
        <w:rPr>
          <w:sz w:val="22"/>
        </w:rPr>
        <w:t>(</w:t>
      </w:r>
      <w:r w:rsidR="00ED72E6" w:rsidRPr="00CC3DB5">
        <w:rPr>
          <w:i/>
          <w:iCs/>
          <w:sz w:val="22"/>
        </w:rPr>
        <w:t>26</w:t>
      </w:r>
      <w:r w:rsidR="00ED72E6" w:rsidRPr="00CC3DB5">
        <w:rPr>
          <w:sz w:val="22"/>
        </w:rPr>
        <w:t xml:space="preserve">, </w:t>
      </w:r>
      <w:r w:rsidR="00ED72E6" w:rsidRPr="00CC3DB5">
        <w:rPr>
          <w:i/>
          <w:iCs/>
          <w:sz w:val="22"/>
        </w:rPr>
        <w:t>31</w:t>
      </w:r>
      <w:r w:rsidR="00ED72E6" w:rsidRPr="00CC3DB5">
        <w:rPr>
          <w:sz w:val="22"/>
        </w:rPr>
        <w:t>)</w:t>
      </w:r>
      <w:r w:rsidR="002D0326" w:rsidRPr="00CC3DB5">
        <w:rPr>
          <w:sz w:val="22"/>
          <w:szCs w:val="22"/>
          <w:lang w:eastAsia="en-GB"/>
        </w:rPr>
        <w:fldChar w:fldCharType="end"/>
      </w:r>
      <w:r w:rsidR="00333430" w:rsidRPr="00CC3DB5">
        <w:rPr>
          <w:sz w:val="22"/>
          <w:szCs w:val="22"/>
          <w:lang w:eastAsia="en-GB"/>
        </w:rPr>
        <w:t xml:space="preserve"> Fig. S13)</w:t>
      </w:r>
      <w:r w:rsidR="002D0326" w:rsidRPr="00CC3DB5">
        <w:rPr>
          <w:sz w:val="22"/>
          <w:szCs w:val="22"/>
          <w:lang w:eastAsia="en-GB"/>
        </w:rPr>
        <w:t xml:space="preserve">.  For 12 kHz </w:t>
      </w:r>
      <w:r w:rsidR="00445D87" w:rsidRPr="00CC3DB5">
        <w:rPr>
          <w:sz w:val="22"/>
          <w:szCs w:val="22"/>
          <w:lang w:eastAsia="en-GB"/>
        </w:rPr>
        <w:t xml:space="preserve">this reflects a </w:t>
      </w:r>
      <w:r w:rsidRPr="00CC3DB5">
        <w:rPr>
          <w:sz w:val="22"/>
          <w:szCs w:val="22"/>
          <w:lang w:eastAsia="en-GB"/>
        </w:rPr>
        <w:t xml:space="preserve">bandwidth at the level of the nerve of </w:t>
      </w:r>
      <w:r w:rsidR="00B66A61" w:rsidRPr="00CC3DB5">
        <w:rPr>
          <w:sz w:val="22"/>
          <w:szCs w:val="22"/>
          <w:lang w:eastAsia="en-GB"/>
        </w:rPr>
        <w:t>3</w:t>
      </w:r>
      <w:r w:rsidRPr="00CC3DB5">
        <w:rPr>
          <w:sz w:val="22"/>
          <w:szCs w:val="22"/>
          <w:lang w:eastAsia="en-GB"/>
        </w:rPr>
        <w:t>000 Hz, or 0.</w:t>
      </w:r>
      <w:r w:rsidR="00B66A61" w:rsidRPr="00CC3DB5">
        <w:rPr>
          <w:sz w:val="22"/>
          <w:szCs w:val="22"/>
          <w:lang w:eastAsia="en-GB"/>
        </w:rPr>
        <w:t>37</w:t>
      </w:r>
      <w:r w:rsidRPr="00CC3DB5">
        <w:rPr>
          <w:sz w:val="22"/>
          <w:szCs w:val="22"/>
          <w:lang w:eastAsia="en-GB"/>
        </w:rPr>
        <w:t xml:space="preserve"> </w:t>
      </w:r>
      <w:r w:rsidR="00B66A61" w:rsidRPr="00CC3DB5">
        <w:rPr>
          <w:sz w:val="22"/>
          <w:szCs w:val="22"/>
          <w:lang w:eastAsia="en-GB"/>
        </w:rPr>
        <w:t xml:space="preserve">octave </w:t>
      </w:r>
      <w:r w:rsidR="00C7545D" w:rsidRPr="00CC3DB5">
        <w:rPr>
          <w:sz w:val="22"/>
          <w:szCs w:val="22"/>
          <w:lang w:eastAsia="en-GB"/>
        </w:rPr>
        <w:t>approximately</w:t>
      </w:r>
      <w:r w:rsidR="00B66A61" w:rsidRPr="00CC3DB5">
        <w:rPr>
          <w:sz w:val="22"/>
          <w:szCs w:val="22"/>
          <w:lang w:eastAsia="en-GB"/>
        </w:rPr>
        <w:t xml:space="preserve"> 6-times larger than </w:t>
      </w:r>
      <w:r w:rsidRPr="00CC3DB5">
        <w:rPr>
          <w:sz w:val="22"/>
          <w:szCs w:val="22"/>
          <w:lang w:eastAsia="en-GB"/>
        </w:rPr>
        <w:t xml:space="preserve">represented by the broadest observed syncytium (0.06 octaves). </w:t>
      </w:r>
    </w:p>
    <w:p w14:paraId="4A140583" w14:textId="46018300" w:rsidR="004537E3" w:rsidRDefault="00C7545D" w:rsidP="005152AC">
      <w:pPr>
        <w:ind w:firstLine="720"/>
        <w:jc w:val="both"/>
        <w:rPr>
          <w:sz w:val="22"/>
          <w:szCs w:val="22"/>
          <w:lang w:eastAsia="en-GB"/>
        </w:rPr>
      </w:pPr>
      <w:r w:rsidRPr="00CC3DB5">
        <w:rPr>
          <w:sz w:val="22"/>
          <w:szCs w:val="22"/>
          <w:lang w:eastAsia="en-GB"/>
        </w:rPr>
        <w:t>F</w:t>
      </w:r>
      <w:r w:rsidR="00061B34" w:rsidRPr="00CC3DB5">
        <w:rPr>
          <w:sz w:val="22"/>
          <w:szCs w:val="22"/>
          <w:lang w:eastAsia="en-GB"/>
        </w:rPr>
        <w:t xml:space="preserve">or a comparison to psychophysical estimates of frequency resolution, we relied on human data </w:t>
      </w:r>
      <w:r w:rsidR="00061B34" w:rsidRPr="00CC3DB5">
        <w:rPr>
          <w:sz w:val="22"/>
          <w:szCs w:val="22"/>
          <w:lang w:eastAsia="en-GB"/>
        </w:rPr>
        <w:fldChar w:fldCharType="begin"/>
      </w:r>
      <w:r w:rsidR="00ED72E6" w:rsidRPr="00CC3DB5">
        <w:rPr>
          <w:sz w:val="22"/>
          <w:szCs w:val="22"/>
          <w:lang w:eastAsia="en-GB"/>
        </w:rPr>
        <w:instrText xml:space="preserve"> ADDIN ZOTERO_ITEM CSL_CITATION {"citationID":"ZwVlqvyd","properties":{"formattedCitation":"({\\i{}37})","plainCitation":"(37)","noteIndex":0},"citationItems":[{"id":16762,"uris":["http://zotero.org/users/598743/items/KXUESG32"],"uri":["http://zotero.org/users/598743/items/KXUESG32"],"itemData":{"id":16762,"type":"article-journal","abstract":"A maximum-likelihood method was applied in measurements of frequency and intensity discrimination for aged and young normal-hearing subjects with closely matched audiograms. This method was preferred over other psychophysical procedures because it is efficient and controls experimental variance, features that are highly desirable for testing aged subjects. In order to implement the method, psychometric functions for each task were also measured from young subjects using a constant-stimuli procedure. For the young subjects, the differential thresholds obtained from these two procedures were generally comparable. Further, both sets of data were consistent with previous literature, indicating that the maximum-likelihood method was successfully applied for frequency and intensity discrimination. A frequency-dependent difference between young and aged subjects in both frequency and intensity discrimination was observed. Even with closely matched audiograms, aged subjects demonstrated poorer discrimination abilities than young subjects. The age-related difference was always largest at 500 Hz and decreased as frequency increased.","container-title":"The Journal of the Acoustical Society of America","DOI":"10.1121/1.421127","ISSN":"0001-4966","issue":"1","journalAbbreviation":"J. Acoust. Soc. Am.","language":"eng","note":"PMID: 9440340","page":"553-565","source":"PubMed","title":"Frequency and intensity discrimination measured in a maximum-likelihood procedure from young and aged normal-hearing subjects","volume":"103","author":[{"family":"He","given":"N."},{"family":"Dubno","given":"J. R."},{"family":"Mills","given":"J. H."}],"issued":{"date-parts":[["1998",1]]}}}],"schema":"https://github.com/citation-style-language/schema/raw/master/csl-citation.json"} </w:instrText>
      </w:r>
      <w:r w:rsidR="00061B34" w:rsidRPr="00CC3DB5">
        <w:rPr>
          <w:sz w:val="22"/>
          <w:szCs w:val="22"/>
          <w:lang w:eastAsia="en-GB"/>
        </w:rPr>
        <w:fldChar w:fldCharType="separate"/>
      </w:r>
      <w:r w:rsidR="00ED72E6" w:rsidRPr="00CC3DB5">
        <w:rPr>
          <w:sz w:val="22"/>
        </w:rPr>
        <w:t>(</w:t>
      </w:r>
      <w:r w:rsidR="00ED72E6" w:rsidRPr="00CC3DB5">
        <w:rPr>
          <w:i/>
          <w:iCs/>
          <w:sz w:val="22"/>
        </w:rPr>
        <w:t>37</w:t>
      </w:r>
      <w:r w:rsidR="00ED72E6" w:rsidRPr="00CC3DB5">
        <w:rPr>
          <w:sz w:val="22"/>
        </w:rPr>
        <w:t>)</w:t>
      </w:r>
      <w:r w:rsidR="00061B34" w:rsidRPr="00CC3DB5">
        <w:rPr>
          <w:sz w:val="22"/>
          <w:szCs w:val="22"/>
          <w:lang w:eastAsia="en-GB"/>
        </w:rPr>
        <w:fldChar w:fldCharType="end"/>
      </w:r>
      <w:r w:rsidR="00061B34" w:rsidRPr="00CC3DB5">
        <w:rPr>
          <w:sz w:val="22"/>
          <w:szCs w:val="22"/>
          <w:lang w:eastAsia="en-GB"/>
        </w:rPr>
        <w:t xml:space="preserve"> which states that humans can discriminate down to 7 cents of a musical semitone (cent: percentage of a semitone)</w:t>
      </w:r>
      <w:r w:rsidR="00D66C1B" w:rsidRPr="00CC3DB5">
        <w:rPr>
          <w:sz w:val="22"/>
          <w:szCs w:val="22"/>
          <w:lang w:eastAsia="en-GB"/>
        </w:rPr>
        <w:t>. We also used</w:t>
      </w:r>
      <w:r w:rsidR="00497D3C" w:rsidRPr="00CC3DB5">
        <w:rPr>
          <w:sz w:val="22"/>
          <w:szCs w:val="22"/>
          <w:lang w:eastAsia="en-GB"/>
        </w:rPr>
        <w:t xml:space="preserve"> </w:t>
      </w:r>
      <w:r w:rsidR="00497D3C" w:rsidRPr="00CC3DB5">
        <w:rPr>
          <w:sz w:val="22"/>
          <w:szCs w:val="22"/>
        </w:rPr>
        <w:t xml:space="preserve">a model of the human cochlea </w:t>
      </w:r>
      <w:r w:rsidR="00497D3C" w:rsidRPr="00CC3DB5">
        <w:rPr>
          <w:sz w:val="22"/>
          <w:szCs w:val="22"/>
        </w:rPr>
        <w:fldChar w:fldCharType="begin"/>
      </w:r>
      <w:r w:rsidR="00ED72E6" w:rsidRPr="00CC3DB5">
        <w:rPr>
          <w:sz w:val="22"/>
          <w:szCs w:val="22"/>
        </w:rPr>
        <w:instrText xml:space="preserve"> ADDIN ZOTERO_ITEM CSL_CITATION {"citationID":"a2eg59r4dh3","properties":{"formattedCitation":"({\\i{}38})","plainCitation":"(38)","noteIndex":0},"citationItems":[{"id":16797,"uris":["http://zotero.org/users/598743/items/S8N5EB9F"],"uri":["http://zotero.org/users/598743/items/S8N5EB9F"],"itemData":{"id":16797,"type":"article-journal","abstract":"The goals of this study were to derive a frequency–position function for the human cochlear spiral ganglion (SG) to correlate represented frequency along the organ of Corti (OC) to location along the SG, to determine the range of individual variability, and to calculate an “average” frequency map (based on the trajectories of the dendrites of the SG cells). For both OC and SG frequency maps, a potentially important limitation is that accurate estimates of cochlear place frequency based upon the Greenwood function require knowledge of the total OC or SG length, which cannot be determined in most temporal bone and imaging studies. Therefore, an additional goal of this study was to evaluate a simple metric, basal coil diameter that might be utilized to estimate OC and SG length. Cadaver cochleae (n = 9) were fixed &lt;24 h postmortem, stained with osmium tetroxide, microdissected, decalcified briefly, embedded in epoxy resin, and examined in surface preparations. In digital images, the OC and SG were measured, and the radial nerve fiber trajectories were traced to define a series of frequency-matched coordinates along the two structures. Images of the cochlear turns were reconstructed and measurements of basal turn diameter were made and correlated with OC and SG measurements. The data obtained provide a mathematical function for relating represented frequency along the OC to that of the SG. Results showed that whereas the distance along the OC that corresponds to a critical bandwidth is assumed to be constant throughout the cochlea, estimated critical band distance in the SG varies significantly along the spiral. Additional findings suggest that measurements of basal coil diameter in preoperative images may allow prediction of OC/SG length and estimation of the insertion depth required to reach specific angles of rotation and frequencies. Results also indicate that OC and SG percentage length expressed as a function of rotation angle from the round window is fairly constant across subjects. The implications of these findings for the design and surgical insertion of cochlear implants are discussed.","container-title":"Journal of the Association for Research in Otolaryngology","DOI":"10.1007/s10162-007-0076-9","ISSN":"1525-3961","issue":"2","journalAbbreviation":"J Assoc Res Otolaryngol","language":"en","note":"PMID: 17318276\nPMCID: PMC2394499","page":"220-233","source":"PubMed Central","title":"Frequency Map for the Human Cochlear Spiral Ganglion: Implications for Cochlear Implants","title-short":"Frequency Map for the Human Cochlear Spiral Ganglion","volume":"8","author":[{"family":"Stakhovskaya","given":"Olga"},{"family":"Sridhar","given":"Divya"},{"family":"Bonham","given":"Ben H."},{"family":"Leake","given":"Patricia A."}],"issued":{"date-parts":[["2007",6]]}}}],"schema":"https://github.com/citation-style-language/schema/raw/master/csl-citation.json"} </w:instrText>
      </w:r>
      <w:r w:rsidR="00497D3C" w:rsidRPr="00CC3DB5">
        <w:rPr>
          <w:sz w:val="22"/>
          <w:szCs w:val="22"/>
        </w:rPr>
        <w:fldChar w:fldCharType="separate"/>
      </w:r>
      <w:r w:rsidR="00ED72E6" w:rsidRPr="00CC3DB5">
        <w:rPr>
          <w:sz w:val="22"/>
        </w:rPr>
        <w:t>(</w:t>
      </w:r>
      <w:r w:rsidR="00ED72E6" w:rsidRPr="00CC3DB5">
        <w:rPr>
          <w:i/>
          <w:iCs/>
          <w:sz w:val="22"/>
        </w:rPr>
        <w:t>38</w:t>
      </w:r>
      <w:r w:rsidR="00ED72E6" w:rsidRPr="00CC3DB5">
        <w:rPr>
          <w:sz w:val="22"/>
        </w:rPr>
        <w:t>)</w:t>
      </w:r>
      <w:r w:rsidR="00497D3C" w:rsidRPr="00CC3DB5">
        <w:rPr>
          <w:sz w:val="22"/>
          <w:szCs w:val="22"/>
        </w:rPr>
        <w:fldChar w:fldCharType="end"/>
      </w:r>
      <w:r w:rsidR="00497D3C" w:rsidRPr="00CC3DB5">
        <w:rPr>
          <w:sz w:val="22"/>
          <w:szCs w:val="22"/>
        </w:rPr>
        <w:t xml:space="preserve"> with a cochlear length of 33 mm containing 3500 IHCs of </w:t>
      </w:r>
      <w:r w:rsidR="00497D3C" w:rsidRPr="00CC3DB5">
        <w:rPr>
          <w:sz w:val="22"/>
          <w:szCs w:val="22"/>
          <w:lang w:eastAsia="en-GB"/>
        </w:rPr>
        <w:t>approximately</w:t>
      </w:r>
      <w:r w:rsidR="00497D3C" w:rsidRPr="00CC3DB5">
        <w:rPr>
          <w:sz w:val="22"/>
          <w:szCs w:val="22"/>
        </w:rPr>
        <w:t xml:space="preserve"> 9 µm per IHC. The mid-cochlear quarter of a turn (263-407</w:t>
      </w:r>
      <w:r w:rsidR="00594A86" w:rsidRPr="00CC3DB5">
        <w:rPr>
          <w:sz w:val="22"/>
          <w:szCs w:val="22"/>
        </w:rPr>
        <w:t xml:space="preserve"> </w:t>
      </w:r>
      <w:r w:rsidR="00497D3C" w:rsidRPr="00CC3DB5">
        <w:rPr>
          <w:sz w:val="22"/>
          <w:szCs w:val="22"/>
        </w:rPr>
        <w:t>Hz) should then hold</w:t>
      </w:r>
      <w:r w:rsidR="00497D3C" w:rsidRPr="00CC3DB5">
        <w:rPr>
          <w:sz w:val="22"/>
          <w:szCs w:val="22"/>
          <w:lang w:eastAsia="en-GB"/>
        </w:rPr>
        <w:t xml:space="preserve"> approximately</w:t>
      </w:r>
      <w:r w:rsidR="00497D3C" w:rsidRPr="00CC3DB5">
        <w:rPr>
          <w:sz w:val="22"/>
          <w:szCs w:val="22"/>
        </w:rPr>
        <w:t xml:space="preserve"> 245 IHCs. Making a linear approximation of the frequency distribution within the mid-cochlear quarter of a turn we calculated that there are </w:t>
      </w:r>
      <w:r w:rsidR="00497D3C" w:rsidRPr="00CC3DB5">
        <w:rPr>
          <w:sz w:val="22"/>
          <w:szCs w:val="22"/>
          <w:lang w:eastAsia="en-GB"/>
        </w:rPr>
        <w:t>approximately</w:t>
      </w:r>
      <w:r w:rsidR="00497D3C" w:rsidRPr="00CC3DB5">
        <w:rPr>
          <w:sz w:val="22"/>
          <w:szCs w:val="22"/>
        </w:rPr>
        <w:t xml:space="preserve"> 30 IHCs per a musical semitone (ST). This means each IHC “would cover” </w:t>
      </w:r>
      <w:r w:rsidR="00497D3C" w:rsidRPr="00CC3DB5">
        <w:rPr>
          <w:sz w:val="22"/>
          <w:szCs w:val="22"/>
          <w:lang w:eastAsia="en-GB"/>
        </w:rPr>
        <w:t>approximately</w:t>
      </w:r>
      <w:r w:rsidR="00497D3C" w:rsidRPr="00CC3DB5">
        <w:rPr>
          <w:sz w:val="22"/>
          <w:szCs w:val="22"/>
        </w:rPr>
        <w:t xml:space="preserve"> 3 cents</w:t>
      </w:r>
      <w:r w:rsidR="00C007BE" w:rsidRPr="00CC3DB5">
        <w:rPr>
          <w:sz w:val="22"/>
          <w:szCs w:val="22"/>
        </w:rPr>
        <w:t xml:space="preserve"> on the tonotopic map</w:t>
      </w:r>
      <w:r w:rsidR="00497D3C" w:rsidRPr="00CC3DB5">
        <w:rPr>
          <w:sz w:val="22"/>
          <w:szCs w:val="22"/>
        </w:rPr>
        <w:t>.</w:t>
      </w:r>
      <w:r w:rsidR="00061B34" w:rsidRPr="00CC3DB5">
        <w:rPr>
          <w:sz w:val="22"/>
          <w:szCs w:val="22"/>
          <w:lang w:eastAsia="en-GB"/>
        </w:rPr>
        <w:t xml:space="preserve"> Now, </w:t>
      </w:r>
      <w:r w:rsidR="00270964" w:rsidRPr="00CC3DB5">
        <w:rPr>
          <w:sz w:val="22"/>
          <w:szCs w:val="22"/>
          <w:lang w:eastAsia="en-GB"/>
        </w:rPr>
        <w:t>let us assume</w:t>
      </w:r>
      <w:r w:rsidR="00061B34" w:rsidRPr="00CC3DB5">
        <w:rPr>
          <w:sz w:val="22"/>
          <w:szCs w:val="22"/>
          <w:lang w:eastAsia="en-GB"/>
        </w:rPr>
        <w:t xml:space="preserve"> a similar situation of IHC coupling</w:t>
      </w:r>
      <w:r w:rsidR="005152AC" w:rsidRPr="00CC3DB5">
        <w:rPr>
          <w:sz w:val="22"/>
          <w:szCs w:val="22"/>
          <w:lang w:eastAsia="en-GB"/>
        </w:rPr>
        <w:t xml:space="preserve"> </w:t>
      </w:r>
      <w:r w:rsidR="00061B34" w:rsidRPr="00CC3DB5">
        <w:rPr>
          <w:sz w:val="22"/>
          <w:szCs w:val="22"/>
          <w:lang w:eastAsia="en-GB"/>
        </w:rPr>
        <w:t>for the human cochlea</w:t>
      </w:r>
      <w:r w:rsidR="00C007BE" w:rsidRPr="00CC3DB5">
        <w:rPr>
          <w:sz w:val="22"/>
          <w:szCs w:val="22"/>
          <w:lang w:eastAsia="en-GB"/>
        </w:rPr>
        <w:t xml:space="preserve"> as we observed experimentally in the mouse cochlea</w:t>
      </w:r>
      <w:r w:rsidR="00270964" w:rsidRPr="00CC3DB5">
        <w:rPr>
          <w:sz w:val="22"/>
          <w:szCs w:val="22"/>
          <w:lang w:eastAsia="en-GB"/>
        </w:rPr>
        <w:t>. Then</w:t>
      </w:r>
      <w:r w:rsidR="00061B34" w:rsidRPr="00CC3DB5">
        <w:rPr>
          <w:sz w:val="22"/>
          <w:szCs w:val="22"/>
          <w:lang w:eastAsia="en-GB"/>
        </w:rPr>
        <w:t xml:space="preserve">, </w:t>
      </w:r>
      <w:r w:rsidR="00270964" w:rsidRPr="00CC3DB5">
        <w:rPr>
          <w:sz w:val="22"/>
          <w:szCs w:val="22"/>
          <w:lang w:eastAsia="en-GB"/>
        </w:rPr>
        <w:t xml:space="preserve">even for the case that the entire cochlea was tiled by mini-syncytia of </w:t>
      </w:r>
      <w:r w:rsidR="00061B34" w:rsidRPr="00CC3DB5">
        <w:rPr>
          <w:sz w:val="22"/>
          <w:szCs w:val="22"/>
          <w:lang w:eastAsia="en-GB"/>
        </w:rPr>
        <w:t>the average size</w:t>
      </w:r>
      <w:r w:rsidR="00270964" w:rsidRPr="00CC3DB5">
        <w:rPr>
          <w:sz w:val="22"/>
          <w:szCs w:val="22"/>
          <w:lang w:eastAsia="en-GB"/>
        </w:rPr>
        <w:t xml:space="preserve"> of 3 IHCs reported here, this</w:t>
      </w:r>
      <w:r w:rsidR="00061B34" w:rsidRPr="00CC3DB5">
        <w:rPr>
          <w:sz w:val="22"/>
          <w:szCs w:val="22"/>
          <w:lang w:eastAsia="en-GB"/>
        </w:rPr>
        <w:t xml:space="preserve"> would indicate a </w:t>
      </w:r>
      <w:r w:rsidR="00D66C1B" w:rsidRPr="00CC3DB5">
        <w:rPr>
          <w:sz w:val="22"/>
          <w:szCs w:val="22"/>
          <w:lang w:eastAsia="en-GB"/>
        </w:rPr>
        <w:t xml:space="preserve">best </w:t>
      </w:r>
      <w:r w:rsidR="00061B34" w:rsidRPr="00CC3DB5">
        <w:rPr>
          <w:sz w:val="22"/>
          <w:szCs w:val="22"/>
          <w:lang w:eastAsia="en-GB"/>
        </w:rPr>
        <w:t xml:space="preserve">possible frequency resolution of 9 cents, which is close to </w:t>
      </w:r>
      <w:r w:rsidR="003C26C5" w:rsidRPr="00CC3DB5">
        <w:rPr>
          <w:sz w:val="22"/>
          <w:szCs w:val="22"/>
          <w:lang w:eastAsia="en-GB"/>
        </w:rPr>
        <w:t xml:space="preserve">the </w:t>
      </w:r>
      <w:r w:rsidR="00061B34" w:rsidRPr="00CC3DB5">
        <w:rPr>
          <w:sz w:val="22"/>
          <w:szCs w:val="22"/>
          <w:lang w:eastAsia="en-GB"/>
        </w:rPr>
        <w:t>lowest psychophysical estimates (7 cent,</w:t>
      </w:r>
      <w:r w:rsidR="00497D3C" w:rsidRPr="00CC3DB5">
        <w:rPr>
          <w:sz w:val="22"/>
          <w:szCs w:val="22"/>
          <w:lang w:eastAsia="en-GB"/>
        </w:rPr>
        <w:t xml:space="preserve"> </w:t>
      </w:r>
      <w:r w:rsidR="00061B34" w:rsidRPr="00CC3DB5">
        <w:rPr>
          <w:sz w:val="22"/>
          <w:szCs w:val="22"/>
          <w:lang w:val="en-US" w:eastAsia="en-GB"/>
        </w:rPr>
        <w:fldChar w:fldCharType="begin"/>
      </w:r>
      <w:r w:rsidR="00ED72E6" w:rsidRPr="00CC3DB5">
        <w:rPr>
          <w:sz w:val="22"/>
          <w:szCs w:val="22"/>
          <w:lang w:eastAsia="en-GB"/>
        </w:rPr>
        <w:instrText xml:space="preserve"> ADDIN ZOTERO_ITEM CSL_CITATION {"citationID":"a1fj70dc61a","properties":{"formattedCitation":"({\\i{}37})","plainCitation":"(37)","noteIndex":0},"citationItems":[{"id":16762,"uris":["http://zotero.org/users/598743/items/KXUESG32"],"uri":["http://zotero.org/users/598743/items/KXUESG32"],"itemData":{"id":16762,"type":"article-journal","abstract":"A maximum-likelihood method was applied in measurements of frequency and intensity discrimination for aged and young normal-hearing subjects with closely matched audiograms. This method was preferred over other psychophysical procedures because it is efficient and controls experimental variance, features that are highly desirable for testing aged subjects. In order to implement the method, psychometric functions for each task were also measured from young subjects using a constant-stimuli procedure. For the young subjects, the differential thresholds obtained from these two procedures were generally comparable. Further, both sets of data were consistent with previous literature, indicating that the maximum-likelihood method was successfully applied for frequency and intensity discrimination. A frequency-dependent difference between young and aged subjects in both frequency and intensity discrimination was observed. Even with closely matched audiograms, aged subjects demonstrated poorer discrimination abilities than young subjects. The age-related difference was always largest at 500 Hz and decreased as frequency increased.","container-title":"The Journal of the Acoustical Society of America","DOI":"10.1121/1.421127","ISSN":"0001-4966","issue":"1","journalAbbreviation":"J. Acoust. Soc. Am.","language":"eng","note":"PMID: 9440340","page":"553-565","source":"PubMed","title":"Frequency and intensity discrimination measured in a maximum-likelihood procedure from young and aged normal-hearing subjects","volume":"103","author":[{"family":"He","given":"N."},{"family":"Dubno","given":"J. R."},{"family":"Mills","given":"J. H."}],"issued":{"date-parts":[["1998",1]]}}}],"schema":"https://github.com/citation-style-language/schema/raw/master/csl-citation.json"} </w:instrText>
      </w:r>
      <w:r w:rsidR="00061B34" w:rsidRPr="00CC3DB5">
        <w:rPr>
          <w:sz w:val="22"/>
          <w:szCs w:val="22"/>
          <w:lang w:val="en-US" w:eastAsia="en-GB"/>
        </w:rPr>
        <w:fldChar w:fldCharType="separate"/>
      </w:r>
      <w:r w:rsidR="00ED72E6" w:rsidRPr="00CC3DB5">
        <w:rPr>
          <w:sz w:val="22"/>
        </w:rPr>
        <w:t>(</w:t>
      </w:r>
      <w:r w:rsidR="00ED72E6" w:rsidRPr="00CC3DB5">
        <w:rPr>
          <w:i/>
          <w:iCs/>
          <w:sz w:val="22"/>
        </w:rPr>
        <w:t>37</w:t>
      </w:r>
      <w:r w:rsidR="00ED72E6" w:rsidRPr="00CC3DB5">
        <w:rPr>
          <w:sz w:val="22"/>
        </w:rPr>
        <w:t>)</w:t>
      </w:r>
      <w:r w:rsidR="00061B34" w:rsidRPr="00CC3DB5">
        <w:rPr>
          <w:sz w:val="22"/>
          <w:szCs w:val="22"/>
          <w:lang w:eastAsia="en-GB"/>
        </w:rPr>
        <w:fldChar w:fldCharType="end"/>
      </w:r>
      <w:r w:rsidR="00061B34" w:rsidRPr="00CC3DB5">
        <w:rPr>
          <w:sz w:val="22"/>
          <w:szCs w:val="22"/>
          <w:lang w:eastAsia="en-GB"/>
        </w:rPr>
        <w:t>). Therefore, we</w:t>
      </w:r>
      <w:r w:rsidR="00D66C1B" w:rsidRPr="00CC3DB5">
        <w:rPr>
          <w:sz w:val="22"/>
          <w:szCs w:val="22"/>
          <w:lang w:eastAsia="en-GB"/>
        </w:rPr>
        <w:t xml:space="preserve"> conclude</w:t>
      </w:r>
      <w:r w:rsidR="00061B34" w:rsidRPr="00CC3DB5">
        <w:rPr>
          <w:sz w:val="22"/>
          <w:szCs w:val="22"/>
          <w:lang w:eastAsia="en-GB"/>
        </w:rPr>
        <w:t xml:space="preserve"> that low prevalence and small size of mini-syncytia avoids trading off frequency resolution </w:t>
      </w:r>
      <w:r w:rsidR="00D66C1B" w:rsidRPr="00CC3DB5">
        <w:rPr>
          <w:sz w:val="22"/>
          <w:szCs w:val="22"/>
          <w:lang w:eastAsia="en-GB"/>
        </w:rPr>
        <w:t xml:space="preserve">against </w:t>
      </w:r>
      <w:r w:rsidR="00061B34" w:rsidRPr="00CC3DB5">
        <w:rPr>
          <w:sz w:val="22"/>
          <w:szCs w:val="22"/>
          <w:lang w:eastAsia="en-GB"/>
        </w:rPr>
        <w:t xml:space="preserve">detection sensitivity. </w:t>
      </w:r>
    </w:p>
    <w:p w14:paraId="0CCCA7B2" w14:textId="5889F39B" w:rsidR="00F018BD" w:rsidRDefault="00F018BD" w:rsidP="005152AC">
      <w:pPr>
        <w:ind w:firstLine="720"/>
        <w:jc w:val="both"/>
        <w:rPr>
          <w:sz w:val="22"/>
          <w:szCs w:val="22"/>
          <w:lang w:eastAsia="en-GB"/>
        </w:rPr>
      </w:pPr>
    </w:p>
    <w:p w14:paraId="3F5378AB" w14:textId="014D174D" w:rsidR="00F018BD" w:rsidRDefault="00F018BD" w:rsidP="00F018BD">
      <w:pPr>
        <w:jc w:val="both"/>
        <w:rPr>
          <w:sz w:val="22"/>
          <w:szCs w:val="22"/>
          <w:lang w:eastAsia="en-GB"/>
        </w:rPr>
      </w:pPr>
      <w:r w:rsidRPr="00040DCF">
        <w:rPr>
          <w:noProof/>
          <w:sz w:val="22"/>
          <w:szCs w:val="22"/>
          <w:lang w:eastAsia="en-GB"/>
        </w:rPr>
        <w:lastRenderedPageBreak/>
        <w:drawing>
          <wp:inline distT="0" distB="0" distL="0" distR="0" wp14:anchorId="1859887A" wp14:editId="77F93CB0">
            <wp:extent cx="5929603" cy="255806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42015" cy="2563415"/>
                    </a:xfrm>
                    <a:prstGeom prst="rect">
                      <a:avLst/>
                    </a:prstGeom>
                    <a:noFill/>
                    <a:ln>
                      <a:noFill/>
                    </a:ln>
                  </pic:spPr>
                </pic:pic>
              </a:graphicData>
            </a:graphic>
          </wp:inline>
        </w:drawing>
      </w:r>
    </w:p>
    <w:p w14:paraId="59FD5ECC" w14:textId="77777777" w:rsidR="00F018BD" w:rsidRPr="00040DCF" w:rsidRDefault="00F018BD" w:rsidP="00F018BD">
      <w:pPr>
        <w:pStyle w:val="paragraph"/>
        <w:spacing w:before="0" w:beforeAutospacing="0" w:after="0" w:afterAutospacing="0"/>
        <w:jc w:val="both"/>
        <w:textAlignment w:val="baseline"/>
        <w:rPr>
          <w:sz w:val="22"/>
          <w:szCs w:val="22"/>
          <w:lang w:val="en-US"/>
        </w:rPr>
      </w:pPr>
      <w:r w:rsidRPr="00040DCF">
        <w:rPr>
          <w:rStyle w:val="normaltextrun"/>
          <w:b/>
          <w:bCs/>
          <w:sz w:val="22"/>
          <w:szCs w:val="22"/>
          <w:lang w:val="en-US"/>
        </w:rPr>
        <w:t>Supplementary figure 14: Coupling pr</w:t>
      </w:r>
      <w:r>
        <w:rPr>
          <w:rStyle w:val="normaltextrun"/>
          <w:b/>
          <w:bCs/>
          <w:sz w:val="22"/>
          <w:szCs w:val="22"/>
          <w:lang w:val="en-US"/>
        </w:rPr>
        <w:t>obability and resting currents as a function of age</w:t>
      </w:r>
      <w:r w:rsidRPr="00040DCF">
        <w:rPr>
          <w:rStyle w:val="normaltextrun"/>
          <w:b/>
          <w:bCs/>
          <w:sz w:val="22"/>
          <w:szCs w:val="22"/>
          <w:lang w:val="en-US"/>
        </w:rPr>
        <w:t xml:space="preserve"> in gerbils.</w:t>
      </w:r>
    </w:p>
    <w:p w14:paraId="46A08CC2" w14:textId="563B50CC" w:rsidR="00F018BD" w:rsidRPr="00040DCF" w:rsidRDefault="00F018BD" w:rsidP="00F018BD">
      <w:pPr>
        <w:pStyle w:val="paragraph"/>
        <w:spacing w:before="0" w:beforeAutospacing="0" w:after="0" w:afterAutospacing="0"/>
        <w:jc w:val="both"/>
        <w:textAlignment w:val="baseline"/>
        <w:rPr>
          <w:sz w:val="22"/>
          <w:szCs w:val="22"/>
          <w:lang w:val="en-US"/>
        </w:rPr>
      </w:pPr>
      <w:r w:rsidRPr="00040DCF">
        <w:rPr>
          <w:rStyle w:val="normaltextrun"/>
          <w:b/>
          <w:bCs/>
          <w:sz w:val="22"/>
          <w:szCs w:val="22"/>
          <w:lang w:val="en-US"/>
        </w:rPr>
        <w:t>(a)</w:t>
      </w:r>
      <w:r w:rsidRPr="00040DCF">
        <w:rPr>
          <w:rStyle w:val="normaltextrun"/>
          <w:sz w:val="22"/>
          <w:szCs w:val="22"/>
          <w:lang w:val="en-US"/>
        </w:rPr>
        <w:t xml:space="preserve"> </w:t>
      </w:r>
      <w:r>
        <w:rPr>
          <w:rStyle w:val="normaltextrun"/>
          <w:sz w:val="22"/>
          <w:szCs w:val="22"/>
          <w:lang w:val="en-GB"/>
        </w:rPr>
        <w:t>D</w:t>
      </w:r>
      <w:proofErr w:type="spellStart"/>
      <w:r w:rsidRPr="00040DCF">
        <w:rPr>
          <w:rStyle w:val="normaltextrun"/>
          <w:sz w:val="22"/>
          <w:szCs w:val="22"/>
          <w:lang w:val="en-US"/>
        </w:rPr>
        <w:t>istribution</w:t>
      </w:r>
      <w:proofErr w:type="spellEnd"/>
      <w:r w:rsidRPr="00040DCF">
        <w:rPr>
          <w:rStyle w:val="normaltextrun"/>
          <w:sz w:val="22"/>
          <w:szCs w:val="22"/>
          <w:lang w:val="en-US"/>
        </w:rPr>
        <w:t xml:space="preserve"> of the number of IHCs labelled during a dye-loading experiment as a function of age.</w:t>
      </w:r>
      <w:r>
        <w:rPr>
          <w:sz w:val="22"/>
          <w:szCs w:val="22"/>
          <w:lang w:val="en-US"/>
        </w:rPr>
        <w:t xml:space="preserve"> </w:t>
      </w:r>
      <w:r w:rsidRPr="00040DCF">
        <w:rPr>
          <w:rStyle w:val="normaltextrun"/>
          <w:b/>
          <w:bCs/>
          <w:sz w:val="22"/>
          <w:szCs w:val="22"/>
          <w:lang w:val="en-US"/>
        </w:rPr>
        <w:t>(b)</w:t>
      </w:r>
      <w:r w:rsidRPr="00F018BD">
        <w:rPr>
          <w:rStyle w:val="normaltextrun"/>
          <w:sz w:val="22"/>
          <w:szCs w:val="22"/>
          <w:lang w:val="en-GB"/>
        </w:rPr>
        <w:t> </w:t>
      </w:r>
      <w:proofErr w:type="gramStart"/>
      <w:r w:rsidRPr="00040DCF">
        <w:rPr>
          <w:rStyle w:val="spellingerror"/>
          <w:sz w:val="22"/>
          <w:szCs w:val="22"/>
          <w:lang w:val="en-US"/>
        </w:rPr>
        <w:t>I</w:t>
      </w:r>
      <w:r w:rsidRPr="00040DCF">
        <w:rPr>
          <w:rStyle w:val="spellingerror"/>
          <w:sz w:val="22"/>
          <w:szCs w:val="22"/>
          <w:vertAlign w:val="subscript"/>
          <w:lang w:val="en-US"/>
        </w:rPr>
        <w:t>rest</w:t>
      </w:r>
      <w:r w:rsidRPr="00040DCF">
        <w:rPr>
          <w:rStyle w:val="normaltextrun"/>
          <w:sz w:val="22"/>
          <w:szCs w:val="22"/>
          <w:vertAlign w:val="subscript"/>
          <w:lang w:val="en-US"/>
        </w:rPr>
        <w:t> </w:t>
      </w:r>
      <w:r w:rsidRPr="00040DCF">
        <w:rPr>
          <w:rStyle w:val="normaltextrun"/>
          <w:sz w:val="22"/>
          <w:szCs w:val="22"/>
          <w:lang w:val="en-US"/>
        </w:rPr>
        <w:t> of</w:t>
      </w:r>
      <w:proofErr w:type="gramEnd"/>
      <w:r w:rsidRPr="00040DCF">
        <w:rPr>
          <w:rStyle w:val="normaltextrun"/>
          <w:sz w:val="22"/>
          <w:szCs w:val="22"/>
          <w:lang w:val="en-US"/>
        </w:rPr>
        <w:t> un(non)-coupled IHCs before 28 and from P28 was not statistically different (&lt;P28: </w:t>
      </w:r>
      <w:r w:rsidRPr="00040DCF">
        <w:rPr>
          <w:rStyle w:val="normaltextrun"/>
          <w:sz w:val="22"/>
          <w:szCs w:val="22"/>
          <w:lang w:val="en-GB"/>
        </w:rPr>
        <w:t>-26.79 ± 2.32 </w:t>
      </w:r>
      <w:proofErr w:type="spellStart"/>
      <w:r w:rsidRPr="00F018BD">
        <w:rPr>
          <w:rStyle w:val="spellingerror"/>
          <w:sz w:val="22"/>
          <w:szCs w:val="22"/>
          <w:lang w:val="en-US"/>
        </w:rPr>
        <w:t>pA</w:t>
      </w:r>
      <w:proofErr w:type="spellEnd"/>
      <w:r w:rsidRPr="00040DCF">
        <w:rPr>
          <w:rStyle w:val="normaltextrun"/>
          <w:sz w:val="22"/>
          <w:szCs w:val="22"/>
          <w:lang w:val="en-GB"/>
        </w:rPr>
        <w:t>, </w:t>
      </w:r>
      <w:r w:rsidRPr="00040DCF">
        <w:rPr>
          <w:rStyle w:val="normaltextrun"/>
          <w:iCs/>
          <w:sz w:val="22"/>
          <w:szCs w:val="22"/>
          <w:lang w:val="en-GB"/>
        </w:rPr>
        <w:t>n</w:t>
      </w:r>
      <w:r w:rsidRPr="00040DCF">
        <w:rPr>
          <w:rStyle w:val="normaltextrun"/>
          <w:sz w:val="22"/>
          <w:szCs w:val="22"/>
          <w:lang w:val="en-GB"/>
        </w:rPr>
        <w:t> </w:t>
      </w:r>
      <w:r w:rsidR="00310740">
        <w:rPr>
          <w:rStyle w:val="normaltextrun"/>
          <w:sz w:val="22"/>
          <w:szCs w:val="22"/>
          <w:lang w:val="en-GB"/>
        </w:rPr>
        <w:t xml:space="preserve"> </w:t>
      </w:r>
      <w:r w:rsidRPr="00040DCF">
        <w:rPr>
          <w:rStyle w:val="normaltextrun"/>
          <w:sz w:val="22"/>
          <w:szCs w:val="22"/>
          <w:lang w:val="en-GB"/>
        </w:rPr>
        <w:t>= 39, N</w:t>
      </w:r>
      <w:r w:rsidR="00310740">
        <w:rPr>
          <w:rStyle w:val="normaltextrun"/>
          <w:sz w:val="22"/>
          <w:szCs w:val="22"/>
          <w:lang w:val="en-GB"/>
        </w:rPr>
        <w:t xml:space="preserve"> </w:t>
      </w:r>
      <w:r w:rsidRPr="00040DCF">
        <w:rPr>
          <w:rStyle w:val="normaltextrun"/>
          <w:sz w:val="22"/>
          <w:szCs w:val="22"/>
          <w:lang w:val="en-GB"/>
        </w:rPr>
        <w:t>=</w:t>
      </w:r>
      <w:r w:rsidR="00310740">
        <w:rPr>
          <w:rStyle w:val="normaltextrun"/>
          <w:sz w:val="22"/>
          <w:szCs w:val="22"/>
          <w:lang w:val="en-GB"/>
        </w:rPr>
        <w:t xml:space="preserve"> </w:t>
      </w:r>
      <w:r w:rsidRPr="00040DCF">
        <w:rPr>
          <w:rStyle w:val="normaltextrun"/>
          <w:sz w:val="22"/>
          <w:szCs w:val="22"/>
          <w:lang w:val="en-GB"/>
        </w:rPr>
        <w:t>15; ≥P28: -28.16 ± 1.96 </w:t>
      </w:r>
      <w:proofErr w:type="spellStart"/>
      <w:r w:rsidRPr="00040DCF">
        <w:rPr>
          <w:rStyle w:val="spellingerror"/>
          <w:sz w:val="22"/>
          <w:szCs w:val="22"/>
          <w:lang w:val="en-US"/>
        </w:rPr>
        <w:t>pA</w:t>
      </w:r>
      <w:proofErr w:type="spellEnd"/>
      <w:r w:rsidRPr="00040DCF">
        <w:rPr>
          <w:rStyle w:val="normaltextrun"/>
          <w:sz w:val="22"/>
          <w:szCs w:val="22"/>
          <w:lang w:val="en-GB"/>
        </w:rPr>
        <w:t>, </w:t>
      </w:r>
      <w:r w:rsidRPr="00040DCF">
        <w:rPr>
          <w:rStyle w:val="normaltextrun"/>
          <w:iCs/>
          <w:sz w:val="22"/>
          <w:szCs w:val="22"/>
          <w:lang w:val="en-GB"/>
        </w:rPr>
        <w:t>n</w:t>
      </w:r>
      <w:r w:rsidR="00310740">
        <w:rPr>
          <w:rStyle w:val="normaltextrun"/>
          <w:i/>
          <w:iCs/>
          <w:sz w:val="22"/>
          <w:szCs w:val="22"/>
          <w:lang w:val="en-GB"/>
        </w:rPr>
        <w:t xml:space="preserve"> </w:t>
      </w:r>
      <w:r w:rsidRPr="00040DCF">
        <w:rPr>
          <w:rStyle w:val="normaltextrun"/>
          <w:sz w:val="22"/>
          <w:szCs w:val="22"/>
          <w:lang w:val="en-GB"/>
        </w:rPr>
        <w:t> = 24, N</w:t>
      </w:r>
      <w:r w:rsidR="00310740">
        <w:rPr>
          <w:rStyle w:val="normaltextrun"/>
          <w:sz w:val="22"/>
          <w:szCs w:val="22"/>
          <w:lang w:val="en-GB"/>
        </w:rPr>
        <w:t xml:space="preserve"> </w:t>
      </w:r>
      <w:r w:rsidRPr="00040DCF">
        <w:rPr>
          <w:rStyle w:val="normaltextrun"/>
          <w:sz w:val="22"/>
          <w:szCs w:val="22"/>
          <w:lang w:val="en-GB"/>
        </w:rPr>
        <w:t>=</w:t>
      </w:r>
      <w:r w:rsidR="00310740">
        <w:rPr>
          <w:rStyle w:val="normaltextrun"/>
          <w:sz w:val="22"/>
          <w:szCs w:val="22"/>
          <w:lang w:val="en-GB"/>
        </w:rPr>
        <w:t xml:space="preserve"> </w:t>
      </w:r>
      <w:r w:rsidRPr="00040DCF">
        <w:rPr>
          <w:rStyle w:val="normaltextrun"/>
          <w:sz w:val="22"/>
          <w:szCs w:val="22"/>
          <w:lang w:val="en-GB"/>
        </w:rPr>
        <w:t>9, Mann-Whitney-Wilcoxon test, p = 0.47) </w:t>
      </w:r>
      <w:r w:rsidRPr="00040DCF">
        <w:rPr>
          <w:rStyle w:val="eop"/>
          <w:sz w:val="22"/>
          <w:szCs w:val="22"/>
          <w:lang w:val="en-US"/>
        </w:rPr>
        <w:t> </w:t>
      </w:r>
    </w:p>
    <w:p w14:paraId="0583899E" w14:textId="77777777" w:rsidR="00F018BD" w:rsidRPr="00F018BD" w:rsidRDefault="00F018BD" w:rsidP="005152AC">
      <w:pPr>
        <w:ind w:firstLine="720"/>
        <w:jc w:val="both"/>
        <w:rPr>
          <w:sz w:val="22"/>
          <w:szCs w:val="22"/>
          <w:lang w:val="en-US" w:eastAsia="en-GB"/>
        </w:rPr>
      </w:pPr>
    </w:p>
    <w:p w14:paraId="4B2DB3BD" w14:textId="77777777" w:rsidR="0052527B" w:rsidRPr="00CC3DB5" w:rsidRDefault="0052527B">
      <w:pPr>
        <w:spacing w:line="240" w:lineRule="auto"/>
        <w:rPr>
          <w:sz w:val="22"/>
          <w:szCs w:val="22"/>
          <w:lang w:eastAsia="en-GB"/>
        </w:rPr>
      </w:pPr>
      <w:r w:rsidRPr="00CC3DB5">
        <w:rPr>
          <w:sz w:val="22"/>
          <w:szCs w:val="22"/>
          <w:lang w:eastAsia="en-GB"/>
        </w:rPr>
        <w:br w:type="page"/>
      </w:r>
    </w:p>
    <w:tbl>
      <w:tblPr>
        <w:tblStyle w:val="GridTable1Light3"/>
        <w:tblpPr w:rightFromText="181" w:vertAnchor="page" w:horzAnchor="page" w:tblpX="1090" w:tblpY="1805"/>
        <w:tblOverlap w:val="never"/>
        <w:tblW w:w="10191" w:type="dxa"/>
        <w:tblLayout w:type="fixed"/>
        <w:tblLook w:val="04A0" w:firstRow="1" w:lastRow="0" w:firstColumn="1" w:lastColumn="0" w:noHBand="0" w:noVBand="1"/>
      </w:tblPr>
      <w:tblGrid>
        <w:gridCol w:w="1384"/>
        <w:gridCol w:w="4555"/>
        <w:gridCol w:w="1276"/>
        <w:gridCol w:w="2976"/>
      </w:tblGrid>
      <w:tr w:rsidR="00CC3DB5" w:rsidRPr="00040DCF" w14:paraId="08B65342" w14:textId="77777777" w:rsidTr="002957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84" w:type="dxa"/>
            <w:tcBorders>
              <w:top w:val="single" w:sz="12" w:space="0" w:color="7F7F7F"/>
              <w:left w:val="single" w:sz="12" w:space="0" w:color="7F7F7F"/>
              <w:bottom w:val="single" w:sz="12" w:space="0" w:color="7F7F7F"/>
            </w:tcBorders>
          </w:tcPr>
          <w:p w14:paraId="6FD549B5" w14:textId="77777777" w:rsidR="0052527B" w:rsidRPr="00040DCF" w:rsidRDefault="0052527B" w:rsidP="0052527B">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lastRenderedPageBreak/>
              <w:t>Age group</w:t>
            </w:r>
          </w:p>
        </w:tc>
        <w:tc>
          <w:tcPr>
            <w:tcW w:w="4555" w:type="dxa"/>
            <w:tcBorders>
              <w:top w:val="single" w:sz="12" w:space="0" w:color="7F7F7F"/>
              <w:bottom w:val="single" w:sz="12" w:space="0" w:color="7F7F7F"/>
            </w:tcBorders>
          </w:tcPr>
          <w:p w14:paraId="6479A9C0" w14:textId="77777777" w:rsidR="0052527B" w:rsidRPr="00040DCF" w:rsidRDefault="0052527B" w:rsidP="0052527B">
            <w:pPr>
              <w:spacing w:line="240" w:lineRule="auto"/>
              <w:cnfStyle w:val="100000000000" w:firstRow="1" w:lastRow="0" w:firstColumn="0" w:lastColumn="0" w:oddVBand="0" w:evenVBand="0" w:oddHBand="0" w:evenHBand="0" w:firstRowFirstColumn="0" w:firstRowLastColumn="0" w:lastRowFirstColumn="0" w:lastRowLastColumn="0"/>
              <w:rPr>
                <w:rFonts w:ascii="Calibri" w:eastAsia="SimSun" w:hAnsi="Calibri"/>
                <w:b w:val="0"/>
                <w:bCs w:val="0"/>
                <w:szCs w:val="22"/>
                <w:lang w:val="en-US"/>
              </w:rPr>
            </w:pPr>
            <w:r w:rsidRPr="00040DCF">
              <w:rPr>
                <w:rFonts w:ascii="Calibri" w:eastAsia="SimSun" w:hAnsi="Calibri"/>
                <w:b w:val="0"/>
                <w:bCs w:val="0"/>
                <w:szCs w:val="22"/>
                <w:lang w:val="en-US"/>
              </w:rPr>
              <w:t>Membrane contacts/ Fusion sites</w:t>
            </w:r>
          </w:p>
        </w:tc>
        <w:tc>
          <w:tcPr>
            <w:tcW w:w="1276" w:type="dxa"/>
            <w:tcBorders>
              <w:top w:val="single" w:sz="12" w:space="0" w:color="7F7F7F"/>
              <w:bottom w:val="single" w:sz="12" w:space="0" w:color="7F7F7F"/>
            </w:tcBorders>
          </w:tcPr>
          <w:p w14:paraId="2A72147A" w14:textId="77777777" w:rsidR="0052527B" w:rsidRPr="00040DCF" w:rsidRDefault="0052527B" w:rsidP="0052527B">
            <w:pPr>
              <w:spacing w:line="240" w:lineRule="auto"/>
              <w:cnfStyle w:val="100000000000" w:firstRow="1" w:lastRow="0" w:firstColumn="0" w:lastColumn="0" w:oddVBand="0" w:evenVBand="0" w:oddHBand="0" w:evenHBand="0" w:firstRowFirstColumn="0" w:firstRowLastColumn="0" w:lastRowFirstColumn="0" w:lastRowLastColumn="0"/>
              <w:rPr>
                <w:rFonts w:ascii="Calibri" w:eastAsia="SimSun" w:hAnsi="Calibri"/>
                <w:b w:val="0"/>
                <w:bCs w:val="0"/>
                <w:szCs w:val="22"/>
                <w:lang w:val="en-US"/>
              </w:rPr>
            </w:pPr>
            <w:r w:rsidRPr="00040DCF">
              <w:rPr>
                <w:rFonts w:ascii="Calibri" w:eastAsia="SimSun" w:hAnsi="Calibri"/>
                <w:b w:val="0"/>
                <w:bCs w:val="0"/>
                <w:szCs w:val="22"/>
                <w:lang w:val="en-US"/>
              </w:rPr>
              <w:t>Section</w:t>
            </w:r>
          </w:p>
        </w:tc>
        <w:tc>
          <w:tcPr>
            <w:tcW w:w="2976" w:type="dxa"/>
            <w:tcBorders>
              <w:top w:val="single" w:sz="12" w:space="0" w:color="7F7F7F"/>
              <w:bottom w:val="single" w:sz="12" w:space="0" w:color="7F7F7F"/>
              <w:right w:val="single" w:sz="12" w:space="0" w:color="7F7F7F"/>
            </w:tcBorders>
          </w:tcPr>
          <w:p w14:paraId="75884B1B" w14:textId="77777777" w:rsidR="0052527B" w:rsidRPr="00040DCF" w:rsidRDefault="0052527B" w:rsidP="0052527B">
            <w:pPr>
              <w:spacing w:line="240" w:lineRule="auto"/>
              <w:cnfStyle w:val="100000000000" w:firstRow="1" w:lastRow="0" w:firstColumn="0" w:lastColumn="0" w:oddVBand="0" w:evenVBand="0" w:oddHBand="0" w:evenHBand="0" w:firstRowFirstColumn="0" w:firstRowLastColumn="0" w:lastRowFirstColumn="0" w:lastRowLastColumn="0"/>
              <w:rPr>
                <w:rFonts w:ascii="Calibri" w:eastAsia="SimSun" w:hAnsi="Calibri"/>
                <w:b w:val="0"/>
                <w:bCs w:val="0"/>
                <w:szCs w:val="22"/>
                <w:lang w:val="en-US"/>
              </w:rPr>
            </w:pPr>
            <w:r w:rsidRPr="00040DCF">
              <w:rPr>
                <w:rFonts w:ascii="Calibri" w:eastAsia="SimSun" w:hAnsi="Calibri"/>
                <w:b w:val="0"/>
                <w:bCs w:val="0"/>
                <w:szCs w:val="22"/>
                <w:lang w:val="en-US"/>
              </w:rPr>
              <w:t xml:space="preserve">Contact range in z (brackets: in </w:t>
            </w:r>
            <w:proofErr w:type="spellStart"/>
            <w:r w:rsidRPr="00040DCF">
              <w:rPr>
                <w:rFonts w:ascii="Calibri" w:eastAsia="SimSun" w:hAnsi="Calibri"/>
                <w:b w:val="0"/>
                <w:bCs w:val="0"/>
                <w:szCs w:val="22"/>
                <w:lang w:val="en-US"/>
              </w:rPr>
              <w:t>xy</w:t>
            </w:r>
            <w:proofErr w:type="spellEnd"/>
            <w:r w:rsidRPr="00040DCF">
              <w:rPr>
                <w:rFonts w:ascii="Calibri" w:eastAsia="SimSun" w:hAnsi="Calibri"/>
                <w:b w:val="0"/>
                <w:bCs w:val="0"/>
                <w:szCs w:val="22"/>
                <w:lang w:val="en-US"/>
              </w:rPr>
              <w:t xml:space="preserve"> in fusion sites)</w:t>
            </w:r>
          </w:p>
        </w:tc>
      </w:tr>
      <w:tr w:rsidR="00CC3DB5" w:rsidRPr="00040DCF" w14:paraId="2F9314F9" w14:textId="77777777" w:rsidTr="002957F3">
        <w:trPr>
          <w:trHeight w:val="1661"/>
        </w:trPr>
        <w:tc>
          <w:tcPr>
            <w:cnfStyle w:val="001000000000" w:firstRow="0" w:lastRow="0" w:firstColumn="1" w:lastColumn="0" w:oddVBand="0" w:evenVBand="0" w:oddHBand="0" w:evenHBand="0" w:firstRowFirstColumn="0" w:firstRowLastColumn="0" w:lastRowFirstColumn="0" w:lastRowLastColumn="0"/>
            <w:tcW w:w="1384" w:type="dxa"/>
            <w:vMerge w:val="restart"/>
            <w:tcBorders>
              <w:top w:val="single" w:sz="12" w:space="0" w:color="7F7F7F"/>
            </w:tcBorders>
          </w:tcPr>
          <w:p w14:paraId="55A4B59C" w14:textId="77777777" w:rsidR="0052527B" w:rsidRPr="00040DCF" w:rsidRDefault="0052527B" w:rsidP="0052527B">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P15</w:t>
            </w:r>
          </w:p>
          <w:p w14:paraId="2AD80913" w14:textId="77777777" w:rsidR="0052527B" w:rsidRPr="00040DCF" w:rsidRDefault="0052527B" w:rsidP="0052527B">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(FIB-run #1, animal 1)</w:t>
            </w:r>
          </w:p>
        </w:tc>
        <w:tc>
          <w:tcPr>
            <w:tcW w:w="4555" w:type="dxa"/>
            <w:tcBorders>
              <w:top w:val="single" w:sz="12" w:space="0" w:color="7F7F7F"/>
              <w:bottom w:val="single" w:sz="2" w:space="0" w:color="7F7F7F"/>
            </w:tcBorders>
          </w:tcPr>
          <w:p w14:paraId="3CE0EADB"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 Flat contact IHC 1 with IHC 2</w:t>
            </w:r>
          </w:p>
          <w:p w14:paraId="1B9E9BF1"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 Filopodial contact IHC 1 with IHC 2</w:t>
            </w:r>
          </w:p>
          <w:p w14:paraId="2ED131DC"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 Filopodial contact IHC 1 with IHC 2</w:t>
            </w:r>
          </w:p>
          <w:p w14:paraId="2A729F70"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4. Filopodial contact IHC 1 with IHC 2</w:t>
            </w:r>
          </w:p>
          <w:p w14:paraId="0A5B4F5A"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 Filopodial contact IHC 1 with IHC 2</w:t>
            </w:r>
          </w:p>
          <w:p w14:paraId="6BFFE3FE"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6. Filopodial contact IHC 1 with IHC 2</w:t>
            </w:r>
          </w:p>
        </w:tc>
        <w:tc>
          <w:tcPr>
            <w:tcW w:w="1276" w:type="dxa"/>
            <w:tcBorders>
              <w:top w:val="single" w:sz="12" w:space="0" w:color="7F7F7F"/>
            </w:tcBorders>
          </w:tcPr>
          <w:p w14:paraId="52DA7F3C"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571-580</w:t>
            </w:r>
          </w:p>
          <w:p w14:paraId="234FF34C"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929-934</w:t>
            </w:r>
          </w:p>
          <w:p w14:paraId="4D355D8F"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1778-1796</w:t>
            </w:r>
          </w:p>
          <w:p w14:paraId="13532493"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1781-1792</w:t>
            </w:r>
          </w:p>
          <w:p w14:paraId="77AEC4E9"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1955-1994</w:t>
            </w:r>
          </w:p>
          <w:p w14:paraId="06C5109D"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1973-1981</w:t>
            </w:r>
          </w:p>
        </w:tc>
        <w:tc>
          <w:tcPr>
            <w:tcW w:w="2976" w:type="dxa"/>
            <w:tcBorders>
              <w:top w:val="single" w:sz="12" w:space="0" w:color="7F7F7F"/>
            </w:tcBorders>
          </w:tcPr>
          <w:p w14:paraId="511B1526"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45 nm</w:t>
            </w:r>
          </w:p>
          <w:p w14:paraId="170742E6"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25 nm</w:t>
            </w:r>
          </w:p>
          <w:p w14:paraId="0C9E4135"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90 nm</w:t>
            </w:r>
          </w:p>
          <w:p w14:paraId="2E3844F4"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55 nm</w:t>
            </w:r>
          </w:p>
          <w:p w14:paraId="3FBA0F0B"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195 nm</w:t>
            </w:r>
          </w:p>
          <w:p w14:paraId="5FE000FF"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40 nm</w:t>
            </w:r>
          </w:p>
        </w:tc>
      </w:tr>
      <w:tr w:rsidR="00CC3DB5" w:rsidRPr="00040DCF" w14:paraId="4ABA3898" w14:textId="77777777" w:rsidTr="002957F3">
        <w:trPr>
          <w:trHeight w:val="1121"/>
        </w:trPr>
        <w:tc>
          <w:tcPr>
            <w:cnfStyle w:val="001000000000" w:firstRow="0" w:lastRow="0" w:firstColumn="1" w:lastColumn="0" w:oddVBand="0" w:evenVBand="0" w:oddHBand="0" w:evenHBand="0" w:firstRowFirstColumn="0" w:firstRowLastColumn="0" w:lastRowFirstColumn="0" w:lastRowLastColumn="0"/>
            <w:tcW w:w="1384" w:type="dxa"/>
            <w:vMerge/>
            <w:tcBorders>
              <w:bottom w:val="single" w:sz="12" w:space="0" w:color="999999"/>
            </w:tcBorders>
          </w:tcPr>
          <w:p w14:paraId="3898623C" w14:textId="77777777" w:rsidR="0052527B" w:rsidRPr="00040DCF" w:rsidRDefault="0052527B" w:rsidP="0052527B">
            <w:pPr>
              <w:spacing w:line="240" w:lineRule="auto"/>
              <w:rPr>
                <w:rFonts w:ascii="Calibri" w:eastAsia="SimSun" w:hAnsi="Calibri"/>
                <w:b w:val="0"/>
                <w:bCs w:val="0"/>
                <w:szCs w:val="22"/>
                <w:lang w:val="en-US"/>
              </w:rPr>
            </w:pPr>
          </w:p>
        </w:tc>
        <w:tc>
          <w:tcPr>
            <w:tcW w:w="4555" w:type="dxa"/>
            <w:tcBorders>
              <w:top w:val="single" w:sz="2" w:space="0" w:color="7F7F7F"/>
              <w:bottom w:val="single" w:sz="12" w:space="0" w:color="999999"/>
            </w:tcBorders>
          </w:tcPr>
          <w:p w14:paraId="48FD601A"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 Flat contact IHC 2 with IHC 3</w:t>
            </w:r>
          </w:p>
          <w:p w14:paraId="3B5CAA26"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 Filopodial contact IHC 2 with IHC 3</w:t>
            </w:r>
          </w:p>
          <w:p w14:paraId="6CF85270"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 Filopodial contact IHC 2 with IHC 3</w:t>
            </w:r>
          </w:p>
          <w:p w14:paraId="0D7F7C57"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4. Filopodial contact IHC 2 with IHC 3</w:t>
            </w:r>
          </w:p>
        </w:tc>
        <w:tc>
          <w:tcPr>
            <w:tcW w:w="1276" w:type="dxa"/>
            <w:tcBorders>
              <w:bottom w:val="single" w:sz="12" w:space="0" w:color="999999"/>
            </w:tcBorders>
          </w:tcPr>
          <w:p w14:paraId="6ED1CD93"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1549-1556</w:t>
            </w:r>
          </w:p>
          <w:p w14:paraId="01C8748C"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1620-1726</w:t>
            </w:r>
          </w:p>
          <w:p w14:paraId="022BC0F5" w14:textId="77777777" w:rsidR="0052527B" w:rsidRPr="00040DCF" w:rsidRDefault="0052527B" w:rsidP="0052527B">
            <w:pPr>
              <w:tabs>
                <w:tab w:val="center" w:pos="1089"/>
              </w:tabs>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1813-1846</w:t>
            </w:r>
            <w:r w:rsidRPr="00040DCF">
              <w:rPr>
                <w:rFonts w:ascii="Calibri" w:eastAsia="SimSun" w:hAnsi="Calibri"/>
                <w:szCs w:val="22"/>
                <w:lang w:val="en-US"/>
              </w:rPr>
              <w:tab/>
            </w:r>
          </w:p>
          <w:p w14:paraId="63961CEB"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2024-2028</w:t>
            </w:r>
          </w:p>
        </w:tc>
        <w:tc>
          <w:tcPr>
            <w:tcW w:w="2976" w:type="dxa"/>
            <w:tcBorders>
              <w:bottom w:val="single" w:sz="12" w:space="0" w:color="999999"/>
            </w:tcBorders>
          </w:tcPr>
          <w:p w14:paraId="10E050C4"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35 nm</w:t>
            </w:r>
          </w:p>
          <w:p w14:paraId="08872288"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530 nm</w:t>
            </w:r>
          </w:p>
          <w:p w14:paraId="43447F24"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165 nm</w:t>
            </w:r>
          </w:p>
          <w:p w14:paraId="35CE69B6"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20 nm</w:t>
            </w:r>
          </w:p>
        </w:tc>
      </w:tr>
      <w:tr w:rsidR="00CC3DB5" w:rsidRPr="00040DCF" w14:paraId="61590758" w14:textId="77777777" w:rsidTr="002957F3">
        <w:trPr>
          <w:trHeight w:val="2706"/>
        </w:trPr>
        <w:tc>
          <w:tcPr>
            <w:cnfStyle w:val="001000000000" w:firstRow="0" w:lastRow="0" w:firstColumn="1" w:lastColumn="0" w:oddVBand="0" w:evenVBand="0" w:oddHBand="0" w:evenHBand="0" w:firstRowFirstColumn="0" w:firstRowLastColumn="0" w:lastRowFirstColumn="0" w:lastRowLastColumn="0"/>
            <w:tcW w:w="1384" w:type="dxa"/>
            <w:vMerge w:val="restart"/>
            <w:tcBorders>
              <w:top w:val="single" w:sz="12" w:space="0" w:color="999999"/>
            </w:tcBorders>
          </w:tcPr>
          <w:p w14:paraId="6519F203" w14:textId="77777777" w:rsidR="0052527B" w:rsidRPr="00040DCF" w:rsidRDefault="0052527B" w:rsidP="0052527B">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 xml:space="preserve">P15 </w:t>
            </w:r>
          </w:p>
          <w:p w14:paraId="2F665247" w14:textId="77777777" w:rsidR="0052527B" w:rsidRPr="00040DCF" w:rsidRDefault="0052527B" w:rsidP="0052527B">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(FIB-run #2,</w:t>
            </w:r>
          </w:p>
          <w:p w14:paraId="036F4AEF" w14:textId="77777777" w:rsidR="0052527B" w:rsidRPr="00040DCF" w:rsidRDefault="0052527B" w:rsidP="0052527B">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animal 1)</w:t>
            </w:r>
          </w:p>
        </w:tc>
        <w:tc>
          <w:tcPr>
            <w:tcW w:w="4555" w:type="dxa"/>
            <w:tcBorders>
              <w:top w:val="single" w:sz="12" w:space="0" w:color="999999"/>
              <w:bottom w:val="single" w:sz="2" w:space="0" w:color="999999"/>
            </w:tcBorders>
          </w:tcPr>
          <w:p w14:paraId="5F9A5DD5"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 Filopodial contact IHC 1 with IHC 2</w:t>
            </w:r>
          </w:p>
          <w:p w14:paraId="400E9842"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 Filopodial contact IHC 1 with IHC 2</w:t>
            </w:r>
          </w:p>
          <w:p w14:paraId="0AF3FAB1"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 Filopodial contact IHC 1 with IHC 2</w:t>
            </w:r>
          </w:p>
          <w:p w14:paraId="4CE4FC31"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4. Filopodial contact IHC 1 with IHC 2</w:t>
            </w:r>
          </w:p>
          <w:p w14:paraId="07ABBDDE"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 Filopodial contact IHC 1 with IHC 2</w:t>
            </w:r>
          </w:p>
          <w:p w14:paraId="629FADDC"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6. Filopodial contact IHC 1 with IHC 2</w:t>
            </w:r>
          </w:p>
          <w:p w14:paraId="22DDC450"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7. Filopodial contact IHC 1 with IHC 2</w:t>
            </w:r>
          </w:p>
          <w:p w14:paraId="30C1006A"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8. Filopodial contact IHC 1 with IHC 2</w:t>
            </w:r>
          </w:p>
          <w:p w14:paraId="7739A3B1"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9. Filopodial contact IHC 1 with IHC 2</w:t>
            </w:r>
          </w:p>
          <w:p w14:paraId="7949BE8D"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10. Filopodial contact IHC 1 with IHC 2</w:t>
            </w:r>
          </w:p>
        </w:tc>
        <w:tc>
          <w:tcPr>
            <w:tcW w:w="1276" w:type="dxa"/>
            <w:tcBorders>
              <w:top w:val="single" w:sz="12" w:space="0" w:color="999999"/>
            </w:tcBorders>
          </w:tcPr>
          <w:p w14:paraId="1D200DCD"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3341-3360</w:t>
            </w:r>
          </w:p>
          <w:p w14:paraId="71BE3E92"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3569-3581</w:t>
            </w:r>
          </w:p>
          <w:p w14:paraId="2A7363B9"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3412-3454</w:t>
            </w:r>
          </w:p>
          <w:p w14:paraId="27C56D47"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3418-3457</w:t>
            </w:r>
          </w:p>
          <w:p w14:paraId="5BFDF1B1"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3453-3459</w:t>
            </w:r>
          </w:p>
          <w:p w14:paraId="382DF648"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3569-3580</w:t>
            </w:r>
          </w:p>
          <w:p w14:paraId="564DFFF9"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3666-3677</w:t>
            </w:r>
          </w:p>
          <w:p w14:paraId="0961C8CE"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3672-3705</w:t>
            </w:r>
          </w:p>
          <w:p w14:paraId="0761360B"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3730-3747</w:t>
            </w:r>
          </w:p>
          <w:p w14:paraId="3763081B"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3805-3812</w:t>
            </w:r>
          </w:p>
        </w:tc>
        <w:tc>
          <w:tcPr>
            <w:tcW w:w="2976" w:type="dxa"/>
            <w:tcBorders>
              <w:top w:val="single" w:sz="12" w:space="0" w:color="999999"/>
            </w:tcBorders>
          </w:tcPr>
          <w:p w14:paraId="6D3AD1EB"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95 nm</w:t>
            </w:r>
          </w:p>
          <w:p w14:paraId="0494039C"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60 nm</w:t>
            </w:r>
          </w:p>
          <w:p w14:paraId="3D5B260E"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210 nm</w:t>
            </w:r>
          </w:p>
          <w:p w14:paraId="6CCFAB45"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195 nm</w:t>
            </w:r>
          </w:p>
          <w:p w14:paraId="75EA5B24"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30 nm</w:t>
            </w:r>
          </w:p>
          <w:p w14:paraId="3AB775A1"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55 nm</w:t>
            </w:r>
          </w:p>
          <w:p w14:paraId="2B287D94"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55 nm</w:t>
            </w:r>
          </w:p>
          <w:p w14:paraId="4B66534F"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165 nm</w:t>
            </w:r>
          </w:p>
          <w:p w14:paraId="2F96CE8C"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85 nm</w:t>
            </w:r>
          </w:p>
          <w:p w14:paraId="477EAA53"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35 nm</w:t>
            </w:r>
          </w:p>
        </w:tc>
      </w:tr>
      <w:tr w:rsidR="00CC3DB5" w:rsidRPr="00040DCF" w14:paraId="18537114" w14:textId="77777777" w:rsidTr="002957F3">
        <w:trPr>
          <w:trHeight w:val="2665"/>
        </w:trPr>
        <w:tc>
          <w:tcPr>
            <w:cnfStyle w:val="001000000000" w:firstRow="0" w:lastRow="0" w:firstColumn="1" w:lastColumn="0" w:oddVBand="0" w:evenVBand="0" w:oddHBand="0" w:evenHBand="0" w:firstRowFirstColumn="0" w:firstRowLastColumn="0" w:lastRowFirstColumn="0" w:lastRowLastColumn="0"/>
            <w:tcW w:w="1384" w:type="dxa"/>
            <w:vMerge/>
            <w:tcBorders>
              <w:bottom w:val="single" w:sz="12" w:space="0" w:color="999999"/>
            </w:tcBorders>
          </w:tcPr>
          <w:p w14:paraId="2F7BA8F7" w14:textId="77777777" w:rsidR="0052527B" w:rsidRPr="00040DCF" w:rsidRDefault="0052527B" w:rsidP="0052527B">
            <w:pPr>
              <w:spacing w:line="240" w:lineRule="auto"/>
              <w:rPr>
                <w:rFonts w:ascii="Calibri" w:eastAsia="SimSun" w:hAnsi="Calibri"/>
                <w:b w:val="0"/>
                <w:bCs w:val="0"/>
                <w:szCs w:val="22"/>
                <w:lang w:val="en-US"/>
              </w:rPr>
            </w:pPr>
          </w:p>
        </w:tc>
        <w:tc>
          <w:tcPr>
            <w:tcW w:w="4555" w:type="dxa"/>
            <w:tcBorders>
              <w:top w:val="single" w:sz="2" w:space="0" w:color="999999"/>
              <w:bottom w:val="single" w:sz="12" w:space="0" w:color="999999"/>
            </w:tcBorders>
          </w:tcPr>
          <w:p w14:paraId="360DD815"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 Filopodial contact IHC 2 with IHC 3</w:t>
            </w:r>
          </w:p>
          <w:p w14:paraId="4C277AFD"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 Filopodial contact IHC 2 with IHC 3</w:t>
            </w:r>
          </w:p>
          <w:p w14:paraId="21A62230"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 Filopodial contact IHC 2 with IHC 3</w:t>
            </w:r>
          </w:p>
          <w:p w14:paraId="7D7A62F3"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4. Filopodial contact IHC 2 with IHC 3</w:t>
            </w:r>
          </w:p>
          <w:p w14:paraId="5B330A79"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 Filopodial contact IHC 2 with IHC 3</w:t>
            </w:r>
          </w:p>
          <w:p w14:paraId="5025AA15"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6. Filopodial Contact IHC 2 with IHC 3</w:t>
            </w:r>
          </w:p>
          <w:p w14:paraId="4FFAD792"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7. Filopodial contact IHC 2 with IHC 3</w:t>
            </w:r>
          </w:p>
          <w:p w14:paraId="652CE41D"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8. Filopodial contact IHC 2 with IHC 3</w:t>
            </w:r>
          </w:p>
          <w:p w14:paraId="063811D8"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9. Filopodial contact IHC 2 with IHC 3</w:t>
            </w:r>
          </w:p>
          <w:p w14:paraId="30112EC3"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10. Filopodial contact IHC 2 with IHC 3</w:t>
            </w:r>
          </w:p>
        </w:tc>
        <w:tc>
          <w:tcPr>
            <w:tcW w:w="1276" w:type="dxa"/>
            <w:tcBorders>
              <w:bottom w:val="single" w:sz="12" w:space="0" w:color="999999"/>
            </w:tcBorders>
          </w:tcPr>
          <w:p w14:paraId="1E3BB786"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1073-1088</w:t>
            </w:r>
          </w:p>
          <w:p w14:paraId="73FC4A7F"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1263-1285</w:t>
            </w:r>
          </w:p>
          <w:p w14:paraId="30C2DA88"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1348-1375</w:t>
            </w:r>
          </w:p>
          <w:p w14:paraId="3E465891"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1383-1407</w:t>
            </w:r>
          </w:p>
          <w:p w14:paraId="2BC07F41"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1906-1928</w:t>
            </w:r>
          </w:p>
          <w:p w14:paraId="12DEAC85"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1933-1938</w:t>
            </w:r>
          </w:p>
          <w:p w14:paraId="038D1DDF"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2060-2148</w:t>
            </w:r>
          </w:p>
          <w:p w14:paraId="57BFA64A"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2300-2328</w:t>
            </w:r>
          </w:p>
          <w:p w14:paraId="6E5B3A26"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2616-2656</w:t>
            </w:r>
          </w:p>
          <w:p w14:paraId="3CD2B8C5"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2688-2696</w:t>
            </w:r>
          </w:p>
        </w:tc>
        <w:tc>
          <w:tcPr>
            <w:tcW w:w="2976" w:type="dxa"/>
            <w:tcBorders>
              <w:bottom w:val="single" w:sz="12" w:space="0" w:color="999999"/>
            </w:tcBorders>
          </w:tcPr>
          <w:p w14:paraId="7B0725DE"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75 nm</w:t>
            </w:r>
          </w:p>
          <w:p w14:paraId="5C44C0B7"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110 nm</w:t>
            </w:r>
          </w:p>
          <w:p w14:paraId="54A20B1D"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135 nm</w:t>
            </w:r>
          </w:p>
          <w:p w14:paraId="6791412F"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120 nm</w:t>
            </w:r>
          </w:p>
          <w:p w14:paraId="4A7E8642"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110 nm</w:t>
            </w:r>
          </w:p>
          <w:p w14:paraId="72F1782D"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25 nm</w:t>
            </w:r>
          </w:p>
          <w:p w14:paraId="349C4D43"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88 nm</w:t>
            </w:r>
          </w:p>
          <w:p w14:paraId="6B4CC101"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140 nm</w:t>
            </w:r>
          </w:p>
          <w:p w14:paraId="7A953002"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200 nm</w:t>
            </w:r>
          </w:p>
          <w:p w14:paraId="485FA540"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40 nm</w:t>
            </w:r>
          </w:p>
        </w:tc>
      </w:tr>
      <w:tr w:rsidR="00CC3DB5" w:rsidRPr="00040DCF" w14:paraId="1CA6400A" w14:textId="77777777" w:rsidTr="002957F3">
        <w:tc>
          <w:tcPr>
            <w:cnfStyle w:val="001000000000" w:firstRow="0" w:lastRow="0" w:firstColumn="1" w:lastColumn="0" w:oddVBand="0" w:evenVBand="0" w:oddHBand="0" w:evenHBand="0" w:firstRowFirstColumn="0" w:firstRowLastColumn="0" w:lastRowFirstColumn="0" w:lastRowLastColumn="0"/>
            <w:tcW w:w="1384" w:type="dxa"/>
            <w:tcBorders>
              <w:top w:val="single" w:sz="12" w:space="0" w:color="999999"/>
              <w:bottom w:val="thinThickMediumGap" w:sz="24" w:space="0" w:color="999999"/>
            </w:tcBorders>
          </w:tcPr>
          <w:p w14:paraId="5425C429" w14:textId="77777777" w:rsidR="0052527B" w:rsidRPr="00040DCF" w:rsidRDefault="0052527B" w:rsidP="0052527B">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 xml:space="preserve">P16 </w:t>
            </w:r>
          </w:p>
          <w:p w14:paraId="47E34611" w14:textId="77777777" w:rsidR="0052527B" w:rsidRPr="00040DCF" w:rsidRDefault="0052527B" w:rsidP="0052527B">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(FIB-run #3,</w:t>
            </w:r>
          </w:p>
          <w:p w14:paraId="7503C69A" w14:textId="77777777" w:rsidR="0052527B" w:rsidRPr="00040DCF" w:rsidRDefault="0052527B" w:rsidP="0052527B">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animal 2)</w:t>
            </w:r>
          </w:p>
        </w:tc>
        <w:tc>
          <w:tcPr>
            <w:tcW w:w="4555" w:type="dxa"/>
            <w:tcBorders>
              <w:top w:val="single" w:sz="12" w:space="0" w:color="999999"/>
              <w:bottom w:val="thinThickMediumGap" w:sz="24" w:space="0" w:color="999999"/>
            </w:tcBorders>
          </w:tcPr>
          <w:p w14:paraId="2CE6E647"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 Flat contact IHC 2 with IHC 3</w:t>
            </w:r>
          </w:p>
          <w:p w14:paraId="311CEDA9"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 Fusion site between IHC 2 and IHC 3</w:t>
            </w:r>
          </w:p>
          <w:p w14:paraId="3DD64B41"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 Filopodial contact IHC 2 with IHC 3</w:t>
            </w:r>
          </w:p>
          <w:p w14:paraId="6111D4CD"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4. Filopodial contact IHC 2 with IHC 3</w:t>
            </w:r>
          </w:p>
          <w:p w14:paraId="041DB4A9"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 Filopodial contact IHC 2 with IHC 3</w:t>
            </w:r>
          </w:p>
          <w:p w14:paraId="02A8785D"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6. Filopodial contact IHC 2 with IHC 3</w:t>
            </w:r>
          </w:p>
        </w:tc>
        <w:tc>
          <w:tcPr>
            <w:tcW w:w="1276" w:type="dxa"/>
            <w:tcBorders>
              <w:top w:val="single" w:sz="12" w:space="0" w:color="999999"/>
              <w:bottom w:val="thinThickMediumGap" w:sz="24" w:space="0" w:color="999999"/>
            </w:tcBorders>
          </w:tcPr>
          <w:p w14:paraId="141E2768"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17-64</w:t>
            </w:r>
          </w:p>
          <w:p w14:paraId="63DA8D49"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738-745</w:t>
            </w:r>
          </w:p>
          <w:p w14:paraId="526B0575"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1110-1135</w:t>
            </w:r>
          </w:p>
          <w:p w14:paraId="6EBD2E78"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1245-1260</w:t>
            </w:r>
          </w:p>
          <w:p w14:paraId="6AACB10B"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2775-2785</w:t>
            </w:r>
          </w:p>
          <w:p w14:paraId="7E10F225"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2820-2870</w:t>
            </w:r>
          </w:p>
        </w:tc>
        <w:tc>
          <w:tcPr>
            <w:tcW w:w="2976" w:type="dxa"/>
            <w:tcBorders>
              <w:top w:val="single" w:sz="12" w:space="0" w:color="999999"/>
              <w:bottom w:val="thinThickMediumGap" w:sz="24" w:space="0" w:color="999999"/>
            </w:tcBorders>
          </w:tcPr>
          <w:p w14:paraId="6B267F02"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47 nm</w:t>
            </w:r>
          </w:p>
          <w:p w14:paraId="3EE35C73"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35 nm (</w:t>
            </w:r>
            <w:proofErr w:type="spellStart"/>
            <w:r w:rsidRPr="00040DCF">
              <w:rPr>
                <w:rFonts w:ascii="Calibri" w:eastAsia="SimSun" w:hAnsi="Calibri"/>
                <w:szCs w:val="22"/>
                <w:lang w:val="en-US"/>
              </w:rPr>
              <w:t>xy</w:t>
            </w:r>
            <w:proofErr w:type="spellEnd"/>
            <w:r w:rsidRPr="00040DCF">
              <w:rPr>
                <w:rFonts w:ascii="Calibri" w:eastAsia="SimSun" w:hAnsi="Calibri"/>
                <w:szCs w:val="22"/>
                <w:lang w:val="en-US"/>
              </w:rPr>
              <w:t xml:space="preserve">: 135.83 nm) </w:t>
            </w:r>
          </w:p>
          <w:p w14:paraId="335E70D5"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125 nm</w:t>
            </w:r>
          </w:p>
          <w:p w14:paraId="491B790A"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75 nm</w:t>
            </w:r>
          </w:p>
          <w:p w14:paraId="3DFF506C"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50 nm</w:t>
            </w:r>
          </w:p>
          <w:p w14:paraId="06BD0645"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250 nm</w:t>
            </w:r>
          </w:p>
        </w:tc>
      </w:tr>
      <w:tr w:rsidR="00CC3DB5" w:rsidRPr="00040DCF" w14:paraId="275F81AB" w14:textId="77777777" w:rsidTr="002957F3">
        <w:trPr>
          <w:trHeight w:val="482"/>
        </w:trPr>
        <w:tc>
          <w:tcPr>
            <w:cnfStyle w:val="001000000000" w:firstRow="0" w:lastRow="0" w:firstColumn="1" w:lastColumn="0" w:oddVBand="0" w:evenVBand="0" w:oddHBand="0" w:evenHBand="0" w:firstRowFirstColumn="0" w:firstRowLastColumn="0" w:lastRowFirstColumn="0" w:lastRowLastColumn="0"/>
            <w:tcW w:w="1384" w:type="dxa"/>
            <w:vMerge w:val="restart"/>
            <w:tcBorders>
              <w:top w:val="thinThickMediumGap" w:sz="24" w:space="0" w:color="999999"/>
              <w:left w:val="single" w:sz="2" w:space="0" w:color="999999"/>
              <w:right w:val="single" w:sz="2" w:space="0" w:color="999999"/>
            </w:tcBorders>
          </w:tcPr>
          <w:p w14:paraId="30F3713D" w14:textId="77777777" w:rsidR="0052527B" w:rsidRPr="00040DCF" w:rsidRDefault="0052527B" w:rsidP="0052527B">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 xml:space="preserve">P34 </w:t>
            </w:r>
          </w:p>
          <w:p w14:paraId="064BEE15" w14:textId="77777777" w:rsidR="0052527B" w:rsidRPr="00040DCF" w:rsidRDefault="0052527B" w:rsidP="0052527B">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(FIB-run #1,</w:t>
            </w:r>
          </w:p>
          <w:p w14:paraId="29F94298" w14:textId="77777777" w:rsidR="0052527B" w:rsidRPr="00040DCF" w:rsidRDefault="0052527B" w:rsidP="0052527B">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animal 1)</w:t>
            </w:r>
          </w:p>
        </w:tc>
        <w:tc>
          <w:tcPr>
            <w:tcW w:w="4555" w:type="dxa"/>
            <w:tcBorders>
              <w:top w:val="thinThickMediumGap" w:sz="24" w:space="0" w:color="999999"/>
              <w:left w:val="single" w:sz="2" w:space="0" w:color="999999"/>
              <w:bottom w:val="single" w:sz="4" w:space="0" w:color="999999"/>
              <w:right w:val="single" w:sz="2" w:space="0" w:color="999999"/>
            </w:tcBorders>
          </w:tcPr>
          <w:p w14:paraId="5A7C8614"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 Flat contact IHC 1 with IHC 2</w:t>
            </w:r>
          </w:p>
          <w:p w14:paraId="76308454"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 Flat contact IHC 1 with IHC 2</w:t>
            </w:r>
          </w:p>
        </w:tc>
        <w:tc>
          <w:tcPr>
            <w:tcW w:w="1276" w:type="dxa"/>
            <w:tcBorders>
              <w:top w:val="thinThickMediumGap" w:sz="24" w:space="0" w:color="999999"/>
              <w:left w:val="single" w:sz="2" w:space="0" w:color="999999"/>
              <w:bottom w:val="single" w:sz="4" w:space="0" w:color="999999"/>
              <w:right w:val="single" w:sz="2" w:space="0" w:color="999999"/>
            </w:tcBorders>
          </w:tcPr>
          <w:p w14:paraId="3E518D44"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1357-1558</w:t>
            </w:r>
          </w:p>
          <w:p w14:paraId="59A54231"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1615-1726</w:t>
            </w:r>
          </w:p>
        </w:tc>
        <w:tc>
          <w:tcPr>
            <w:tcW w:w="2976" w:type="dxa"/>
            <w:tcBorders>
              <w:top w:val="thinThickMediumGap" w:sz="24" w:space="0" w:color="999999"/>
              <w:left w:val="single" w:sz="2" w:space="0" w:color="999999"/>
              <w:bottom w:val="single" w:sz="4" w:space="0" w:color="999999"/>
              <w:right w:val="single" w:sz="2" w:space="0" w:color="999999"/>
            </w:tcBorders>
          </w:tcPr>
          <w:p w14:paraId="33E93F7F"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 µm</w:t>
            </w:r>
          </w:p>
          <w:p w14:paraId="1635C1FB"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555 nm</w:t>
            </w:r>
          </w:p>
        </w:tc>
      </w:tr>
      <w:tr w:rsidR="00CC3DB5" w:rsidRPr="00040DCF" w14:paraId="7194ABA6" w14:textId="77777777" w:rsidTr="002957F3">
        <w:trPr>
          <w:trHeight w:val="1212"/>
        </w:trPr>
        <w:tc>
          <w:tcPr>
            <w:cnfStyle w:val="001000000000" w:firstRow="0" w:lastRow="0" w:firstColumn="1" w:lastColumn="0" w:oddVBand="0" w:evenVBand="0" w:oddHBand="0" w:evenHBand="0" w:firstRowFirstColumn="0" w:firstRowLastColumn="0" w:lastRowFirstColumn="0" w:lastRowLastColumn="0"/>
            <w:tcW w:w="1384" w:type="dxa"/>
            <w:vMerge/>
            <w:tcBorders>
              <w:left w:val="single" w:sz="2" w:space="0" w:color="999999"/>
              <w:bottom w:val="single" w:sz="12" w:space="0" w:color="999999"/>
              <w:right w:val="single" w:sz="2" w:space="0" w:color="999999"/>
            </w:tcBorders>
          </w:tcPr>
          <w:p w14:paraId="15FE3B8A" w14:textId="77777777" w:rsidR="0052527B" w:rsidRPr="00040DCF" w:rsidRDefault="0052527B" w:rsidP="0052527B">
            <w:pPr>
              <w:spacing w:line="240" w:lineRule="auto"/>
              <w:rPr>
                <w:rFonts w:ascii="Calibri" w:eastAsia="SimSun" w:hAnsi="Calibri"/>
                <w:b w:val="0"/>
                <w:bCs w:val="0"/>
                <w:szCs w:val="22"/>
                <w:lang w:val="en-US"/>
              </w:rPr>
            </w:pPr>
          </w:p>
        </w:tc>
        <w:tc>
          <w:tcPr>
            <w:tcW w:w="4555" w:type="dxa"/>
            <w:tcBorders>
              <w:top w:val="single" w:sz="4" w:space="0" w:color="999999"/>
              <w:left w:val="single" w:sz="2" w:space="0" w:color="999999"/>
              <w:bottom w:val="single" w:sz="12" w:space="0" w:color="999999"/>
              <w:right w:val="single" w:sz="2" w:space="0" w:color="999999"/>
            </w:tcBorders>
          </w:tcPr>
          <w:p w14:paraId="553EDC5F"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 Flat contact IHC 2 with IHC 3</w:t>
            </w:r>
          </w:p>
          <w:p w14:paraId="67990E0A"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 Flat contact IHC 2 with IHC 3</w:t>
            </w:r>
          </w:p>
          <w:p w14:paraId="75BC7430"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 Flat contact IHC 2 with IHC 3</w:t>
            </w:r>
          </w:p>
          <w:p w14:paraId="59C25E7B"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4. Flat contact IHC 2 with IHC 3</w:t>
            </w:r>
          </w:p>
        </w:tc>
        <w:tc>
          <w:tcPr>
            <w:tcW w:w="1276" w:type="dxa"/>
            <w:tcBorders>
              <w:top w:val="single" w:sz="4" w:space="0" w:color="999999"/>
              <w:left w:val="single" w:sz="2" w:space="0" w:color="999999"/>
              <w:bottom w:val="single" w:sz="12" w:space="0" w:color="999999"/>
              <w:right w:val="single" w:sz="2" w:space="0" w:color="999999"/>
            </w:tcBorders>
          </w:tcPr>
          <w:p w14:paraId="10AF7711"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11-76</w:t>
            </w:r>
          </w:p>
          <w:p w14:paraId="36778D9C"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453-1687</w:t>
            </w:r>
          </w:p>
          <w:p w14:paraId="2380699F"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586-634</w:t>
            </w:r>
          </w:p>
          <w:p w14:paraId="1060CB56"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2129-2200</w:t>
            </w:r>
          </w:p>
        </w:tc>
        <w:tc>
          <w:tcPr>
            <w:tcW w:w="2976" w:type="dxa"/>
            <w:tcBorders>
              <w:top w:val="single" w:sz="4" w:space="0" w:color="999999"/>
              <w:left w:val="single" w:sz="2" w:space="0" w:color="999999"/>
              <w:bottom w:val="single" w:sz="12" w:space="0" w:color="999999"/>
              <w:right w:val="single" w:sz="2" w:space="0" w:color="999999"/>
            </w:tcBorders>
          </w:tcPr>
          <w:p w14:paraId="6C655C29"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325 nm</w:t>
            </w:r>
          </w:p>
          <w:p w14:paraId="078D7A66"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6.17 µm</w:t>
            </w:r>
          </w:p>
          <w:p w14:paraId="599D44F0"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240 nm</w:t>
            </w:r>
          </w:p>
          <w:p w14:paraId="016A99A3"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355 nm</w:t>
            </w:r>
          </w:p>
        </w:tc>
      </w:tr>
      <w:tr w:rsidR="00CC3DB5" w:rsidRPr="00040DCF" w14:paraId="71422666" w14:textId="77777777" w:rsidTr="002957F3">
        <w:trPr>
          <w:trHeight w:val="253"/>
        </w:trPr>
        <w:tc>
          <w:tcPr>
            <w:cnfStyle w:val="001000000000" w:firstRow="0" w:lastRow="0" w:firstColumn="1" w:lastColumn="0" w:oddVBand="0" w:evenVBand="0" w:oddHBand="0" w:evenHBand="0" w:firstRowFirstColumn="0" w:firstRowLastColumn="0" w:lastRowFirstColumn="0" w:lastRowLastColumn="0"/>
            <w:tcW w:w="1384" w:type="dxa"/>
            <w:tcBorders>
              <w:top w:val="single" w:sz="12" w:space="0" w:color="999999"/>
            </w:tcBorders>
          </w:tcPr>
          <w:p w14:paraId="6F89EA4D" w14:textId="77777777" w:rsidR="0052527B" w:rsidRPr="00040DCF" w:rsidRDefault="0052527B" w:rsidP="0052527B">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 xml:space="preserve">P34 </w:t>
            </w:r>
          </w:p>
          <w:p w14:paraId="18EE800A" w14:textId="77777777" w:rsidR="0052527B" w:rsidRPr="00040DCF" w:rsidRDefault="0052527B" w:rsidP="0052527B">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(FIB-run #2,</w:t>
            </w:r>
          </w:p>
          <w:p w14:paraId="10B2C10C" w14:textId="77777777" w:rsidR="0052527B" w:rsidRPr="00040DCF" w:rsidRDefault="0052527B" w:rsidP="0052527B">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animal 1)</w:t>
            </w:r>
          </w:p>
        </w:tc>
        <w:tc>
          <w:tcPr>
            <w:tcW w:w="4555" w:type="dxa"/>
            <w:tcBorders>
              <w:top w:val="single" w:sz="12" w:space="0" w:color="999999"/>
              <w:bottom w:val="single" w:sz="2" w:space="0" w:color="999999"/>
            </w:tcBorders>
          </w:tcPr>
          <w:p w14:paraId="34A4B2CA"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 Flat contact IHC 1 with IHC 2</w:t>
            </w:r>
          </w:p>
          <w:p w14:paraId="2D6BC986"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 Flat contact IHC 1 with IHC 2</w:t>
            </w:r>
          </w:p>
        </w:tc>
        <w:tc>
          <w:tcPr>
            <w:tcW w:w="1276" w:type="dxa"/>
            <w:tcBorders>
              <w:top w:val="single" w:sz="12" w:space="0" w:color="999999"/>
            </w:tcBorders>
          </w:tcPr>
          <w:p w14:paraId="1B1EE0DD"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1-766</w:t>
            </w:r>
          </w:p>
          <w:p w14:paraId="0AA54732"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1144-1411</w:t>
            </w:r>
          </w:p>
        </w:tc>
        <w:tc>
          <w:tcPr>
            <w:tcW w:w="2976" w:type="dxa"/>
            <w:tcBorders>
              <w:top w:val="single" w:sz="12" w:space="0" w:color="999999"/>
            </w:tcBorders>
          </w:tcPr>
          <w:p w14:paraId="01A8F287"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3.83 µm</w:t>
            </w:r>
          </w:p>
          <w:p w14:paraId="496CE2B5" w14:textId="77777777" w:rsidR="0052527B" w:rsidRPr="00040DCF" w:rsidRDefault="0052527B" w:rsidP="0052527B">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1.335 µm</w:t>
            </w:r>
          </w:p>
        </w:tc>
      </w:tr>
    </w:tbl>
    <w:p w14:paraId="70198B3E" w14:textId="1F84F813" w:rsidR="004537E3" w:rsidRPr="00040DCF" w:rsidRDefault="004537E3" w:rsidP="00EB0085">
      <w:pPr>
        <w:ind w:firstLine="720"/>
        <w:jc w:val="both"/>
        <w:rPr>
          <w:sz w:val="22"/>
          <w:szCs w:val="22"/>
          <w:lang w:eastAsia="en-GB"/>
        </w:rPr>
      </w:pPr>
    </w:p>
    <w:p w14:paraId="4B6D5B30" w14:textId="35D5500F" w:rsidR="000144A8" w:rsidRPr="00040DCF" w:rsidRDefault="000144A8" w:rsidP="0057493F">
      <w:pPr>
        <w:spacing w:line="240" w:lineRule="auto"/>
        <w:jc w:val="both"/>
      </w:pPr>
    </w:p>
    <w:tbl>
      <w:tblPr>
        <w:tblStyle w:val="GridTable1Light3"/>
        <w:tblpPr w:rightFromText="181" w:horzAnchor="margin" w:tblpXSpec="center" w:tblpY="-526"/>
        <w:tblOverlap w:val="never"/>
        <w:tblW w:w="10191" w:type="dxa"/>
        <w:tblLayout w:type="fixed"/>
        <w:tblLook w:val="04A0" w:firstRow="1" w:lastRow="0" w:firstColumn="1" w:lastColumn="0" w:noHBand="0" w:noVBand="1"/>
      </w:tblPr>
      <w:tblGrid>
        <w:gridCol w:w="1526"/>
        <w:gridCol w:w="4413"/>
        <w:gridCol w:w="1276"/>
        <w:gridCol w:w="2976"/>
      </w:tblGrid>
      <w:tr w:rsidR="00CC3DB5" w:rsidRPr="00040DCF" w14:paraId="63A5C75D" w14:textId="77777777" w:rsidTr="002957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6" w:type="dxa"/>
            <w:tcBorders>
              <w:top w:val="single" w:sz="12" w:space="0" w:color="7F7F7F"/>
              <w:left w:val="single" w:sz="12" w:space="0" w:color="7F7F7F"/>
              <w:bottom w:val="single" w:sz="12" w:space="0" w:color="7F7F7F"/>
            </w:tcBorders>
          </w:tcPr>
          <w:p w14:paraId="7F6F1322" w14:textId="77777777" w:rsidR="000144A8" w:rsidRPr="00040DCF" w:rsidRDefault="000144A8" w:rsidP="00ED0535">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Age group</w:t>
            </w:r>
          </w:p>
        </w:tc>
        <w:tc>
          <w:tcPr>
            <w:tcW w:w="4413" w:type="dxa"/>
            <w:tcBorders>
              <w:top w:val="single" w:sz="12" w:space="0" w:color="7F7F7F"/>
              <w:bottom w:val="single" w:sz="12" w:space="0" w:color="7F7F7F"/>
            </w:tcBorders>
          </w:tcPr>
          <w:p w14:paraId="633E04B9" w14:textId="77777777" w:rsidR="000144A8" w:rsidRPr="00040DCF" w:rsidRDefault="000144A8" w:rsidP="00ED0535">
            <w:pPr>
              <w:spacing w:line="240" w:lineRule="auto"/>
              <w:cnfStyle w:val="100000000000" w:firstRow="1" w:lastRow="0" w:firstColumn="0" w:lastColumn="0" w:oddVBand="0" w:evenVBand="0" w:oddHBand="0" w:evenHBand="0" w:firstRowFirstColumn="0" w:firstRowLastColumn="0" w:lastRowFirstColumn="0" w:lastRowLastColumn="0"/>
              <w:rPr>
                <w:rFonts w:ascii="Calibri" w:eastAsia="SimSun" w:hAnsi="Calibri"/>
                <w:b w:val="0"/>
                <w:bCs w:val="0"/>
                <w:szCs w:val="22"/>
                <w:lang w:val="en-US"/>
              </w:rPr>
            </w:pPr>
            <w:r w:rsidRPr="00040DCF">
              <w:rPr>
                <w:rFonts w:ascii="Calibri" w:eastAsia="SimSun" w:hAnsi="Calibri"/>
                <w:b w:val="0"/>
                <w:bCs w:val="0"/>
                <w:szCs w:val="22"/>
                <w:lang w:val="en-US"/>
              </w:rPr>
              <w:t>Membrane contacts/ Fusion sites</w:t>
            </w:r>
          </w:p>
        </w:tc>
        <w:tc>
          <w:tcPr>
            <w:tcW w:w="1276" w:type="dxa"/>
            <w:tcBorders>
              <w:top w:val="single" w:sz="12" w:space="0" w:color="7F7F7F"/>
              <w:bottom w:val="single" w:sz="12" w:space="0" w:color="7F7F7F"/>
            </w:tcBorders>
          </w:tcPr>
          <w:p w14:paraId="5D481355" w14:textId="77777777" w:rsidR="000144A8" w:rsidRPr="00040DCF" w:rsidRDefault="000144A8" w:rsidP="00ED0535">
            <w:pPr>
              <w:spacing w:line="240" w:lineRule="auto"/>
              <w:cnfStyle w:val="100000000000" w:firstRow="1" w:lastRow="0" w:firstColumn="0" w:lastColumn="0" w:oddVBand="0" w:evenVBand="0" w:oddHBand="0" w:evenHBand="0" w:firstRowFirstColumn="0" w:firstRowLastColumn="0" w:lastRowFirstColumn="0" w:lastRowLastColumn="0"/>
              <w:rPr>
                <w:rFonts w:ascii="Calibri" w:eastAsia="SimSun" w:hAnsi="Calibri"/>
                <w:b w:val="0"/>
                <w:bCs w:val="0"/>
                <w:szCs w:val="22"/>
                <w:lang w:val="en-US"/>
              </w:rPr>
            </w:pPr>
            <w:r w:rsidRPr="00040DCF">
              <w:rPr>
                <w:rFonts w:ascii="Calibri" w:eastAsia="SimSun" w:hAnsi="Calibri"/>
                <w:b w:val="0"/>
                <w:bCs w:val="0"/>
                <w:szCs w:val="22"/>
                <w:lang w:val="en-US"/>
              </w:rPr>
              <w:t>Section</w:t>
            </w:r>
          </w:p>
        </w:tc>
        <w:tc>
          <w:tcPr>
            <w:tcW w:w="2976" w:type="dxa"/>
            <w:tcBorders>
              <w:top w:val="single" w:sz="12" w:space="0" w:color="7F7F7F"/>
              <w:bottom w:val="single" w:sz="12" w:space="0" w:color="7F7F7F"/>
              <w:right w:val="single" w:sz="12" w:space="0" w:color="7F7F7F"/>
            </w:tcBorders>
          </w:tcPr>
          <w:p w14:paraId="311A93D3" w14:textId="77777777" w:rsidR="000144A8" w:rsidRPr="00040DCF" w:rsidRDefault="000144A8" w:rsidP="00ED0535">
            <w:pPr>
              <w:spacing w:line="240" w:lineRule="auto"/>
              <w:cnfStyle w:val="100000000000" w:firstRow="1" w:lastRow="0" w:firstColumn="0" w:lastColumn="0" w:oddVBand="0" w:evenVBand="0" w:oddHBand="0" w:evenHBand="0" w:firstRowFirstColumn="0" w:firstRowLastColumn="0" w:lastRowFirstColumn="0" w:lastRowLastColumn="0"/>
              <w:rPr>
                <w:rFonts w:ascii="Calibri" w:eastAsia="SimSun" w:hAnsi="Calibri"/>
                <w:b w:val="0"/>
                <w:bCs w:val="0"/>
                <w:szCs w:val="22"/>
                <w:lang w:val="en-US"/>
              </w:rPr>
            </w:pPr>
            <w:r w:rsidRPr="00040DCF">
              <w:rPr>
                <w:rFonts w:ascii="Calibri" w:eastAsia="SimSun" w:hAnsi="Calibri"/>
                <w:b w:val="0"/>
                <w:bCs w:val="0"/>
                <w:szCs w:val="22"/>
                <w:lang w:val="en-US"/>
              </w:rPr>
              <w:t xml:space="preserve">Contact range in z (brackets: in </w:t>
            </w:r>
            <w:proofErr w:type="spellStart"/>
            <w:r w:rsidRPr="00040DCF">
              <w:rPr>
                <w:rFonts w:ascii="Calibri" w:eastAsia="SimSun" w:hAnsi="Calibri"/>
                <w:b w:val="0"/>
                <w:bCs w:val="0"/>
                <w:szCs w:val="22"/>
                <w:lang w:val="en-US"/>
              </w:rPr>
              <w:t>xy</w:t>
            </w:r>
            <w:proofErr w:type="spellEnd"/>
            <w:r w:rsidRPr="00040DCF">
              <w:rPr>
                <w:rFonts w:ascii="Calibri" w:eastAsia="SimSun" w:hAnsi="Calibri"/>
                <w:b w:val="0"/>
                <w:bCs w:val="0"/>
                <w:szCs w:val="22"/>
                <w:lang w:val="en-US"/>
              </w:rPr>
              <w:t xml:space="preserve"> in fusion sites)</w:t>
            </w:r>
          </w:p>
        </w:tc>
      </w:tr>
      <w:tr w:rsidR="00CC3DB5" w:rsidRPr="00040DCF" w14:paraId="43103CC7" w14:textId="77777777" w:rsidTr="002957F3">
        <w:trPr>
          <w:trHeight w:val="243"/>
        </w:trPr>
        <w:tc>
          <w:tcPr>
            <w:cnfStyle w:val="001000000000" w:firstRow="0" w:lastRow="0" w:firstColumn="1" w:lastColumn="0" w:oddVBand="0" w:evenVBand="0" w:oddHBand="0" w:evenHBand="0" w:firstRowFirstColumn="0" w:firstRowLastColumn="0" w:lastRowFirstColumn="0" w:lastRowLastColumn="0"/>
            <w:tcW w:w="1526" w:type="dxa"/>
            <w:vMerge w:val="restart"/>
            <w:tcBorders>
              <w:top w:val="single" w:sz="12" w:space="0" w:color="7F7F7F"/>
            </w:tcBorders>
          </w:tcPr>
          <w:p w14:paraId="2EB63D7D" w14:textId="77777777" w:rsidR="001966D9" w:rsidRPr="00040DCF" w:rsidRDefault="000144A8" w:rsidP="00ED0535">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 xml:space="preserve">P34 </w:t>
            </w:r>
          </w:p>
          <w:p w14:paraId="67A57430" w14:textId="617CC9B7" w:rsidR="001966D9" w:rsidRPr="00040DCF" w:rsidRDefault="000144A8" w:rsidP="00ED0535">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w:t>
            </w:r>
            <w:r w:rsidR="001966D9" w:rsidRPr="00040DCF">
              <w:rPr>
                <w:rFonts w:ascii="Calibri" w:eastAsia="SimSun" w:hAnsi="Calibri"/>
                <w:b w:val="0"/>
                <w:bCs w:val="0"/>
                <w:szCs w:val="22"/>
                <w:lang w:val="en-US"/>
              </w:rPr>
              <w:t>FIB-</w:t>
            </w:r>
            <w:r w:rsidRPr="00040DCF">
              <w:rPr>
                <w:rFonts w:ascii="Calibri" w:eastAsia="SimSun" w:hAnsi="Calibri"/>
                <w:b w:val="0"/>
                <w:bCs w:val="0"/>
                <w:szCs w:val="22"/>
                <w:lang w:val="en-US"/>
              </w:rPr>
              <w:t xml:space="preserve">run </w:t>
            </w:r>
            <w:r w:rsidR="007C4BE3" w:rsidRPr="00040DCF">
              <w:rPr>
                <w:rFonts w:ascii="Calibri" w:eastAsia="SimSun" w:hAnsi="Calibri"/>
                <w:b w:val="0"/>
                <w:bCs w:val="0"/>
                <w:szCs w:val="22"/>
                <w:lang w:val="en-US"/>
              </w:rPr>
              <w:t>#</w:t>
            </w:r>
            <w:r w:rsidRPr="00040DCF">
              <w:rPr>
                <w:rFonts w:ascii="Calibri" w:eastAsia="SimSun" w:hAnsi="Calibri"/>
                <w:b w:val="0"/>
                <w:bCs w:val="0"/>
                <w:szCs w:val="22"/>
                <w:lang w:val="en-US"/>
              </w:rPr>
              <w:t>2</w:t>
            </w:r>
            <w:r w:rsidR="001966D9" w:rsidRPr="00040DCF">
              <w:rPr>
                <w:rFonts w:ascii="Calibri" w:eastAsia="SimSun" w:hAnsi="Calibri"/>
                <w:b w:val="0"/>
                <w:bCs w:val="0"/>
                <w:szCs w:val="22"/>
                <w:lang w:val="en-US"/>
              </w:rPr>
              <w:t>,</w:t>
            </w:r>
          </w:p>
          <w:p w14:paraId="69DE2016" w14:textId="20800AE3" w:rsidR="000144A8" w:rsidRPr="00040DCF" w:rsidRDefault="001966D9" w:rsidP="00ED0535">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animal 1</w:t>
            </w:r>
            <w:r w:rsidR="000144A8" w:rsidRPr="00040DCF">
              <w:rPr>
                <w:rFonts w:ascii="Calibri" w:eastAsia="SimSun" w:hAnsi="Calibri"/>
                <w:b w:val="0"/>
                <w:bCs w:val="0"/>
                <w:szCs w:val="22"/>
                <w:lang w:val="en-US"/>
              </w:rPr>
              <w:t>)</w:t>
            </w:r>
          </w:p>
        </w:tc>
        <w:tc>
          <w:tcPr>
            <w:tcW w:w="4413" w:type="dxa"/>
            <w:tcBorders>
              <w:top w:val="single" w:sz="12" w:space="0" w:color="7F7F7F"/>
              <w:bottom w:val="single" w:sz="4" w:space="0" w:color="7F7F7F"/>
            </w:tcBorders>
          </w:tcPr>
          <w:p w14:paraId="0981DC03"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 Fusion site between IHC 1 and IHC 2</w:t>
            </w:r>
          </w:p>
        </w:tc>
        <w:tc>
          <w:tcPr>
            <w:tcW w:w="1276" w:type="dxa"/>
            <w:tcBorders>
              <w:top w:val="single" w:sz="12" w:space="0" w:color="7F7F7F"/>
              <w:bottom w:val="single" w:sz="4" w:space="0" w:color="7F7F7F"/>
            </w:tcBorders>
          </w:tcPr>
          <w:p w14:paraId="55E227C5"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1233-1340</w:t>
            </w:r>
          </w:p>
        </w:tc>
        <w:tc>
          <w:tcPr>
            <w:tcW w:w="2976" w:type="dxa"/>
            <w:tcBorders>
              <w:top w:val="single" w:sz="12" w:space="0" w:color="7F7F7F"/>
              <w:bottom w:val="single" w:sz="4" w:space="0" w:color="7F7F7F"/>
            </w:tcBorders>
          </w:tcPr>
          <w:p w14:paraId="601C91BF"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535 nm (</w:t>
            </w:r>
            <w:proofErr w:type="spellStart"/>
            <w:r w:rsidRPr="00040DCF">
              <w:rPr>
                <w:rFonts w:ascii="Calibri" w:eastAsia="SimSun" w:hAnsi="Calibri"/>
                <w:szCs w:val="22"/>
                <w:lang w:val="en-US"/>
              </w:rPr>
              <w:t>xy</w:t>
            </w:r>
            <w:proofErr w:type="spellEnd"/>
            <w:r w:rsidRPr="00040DCF">
              <w:rPr>
                <w:rFonts w:ascii="Calibri" w:eastAsia="SimSun" w:hAnsi="Calibri"/>
                <w:szCs w:val="22"/>
                <w:lang w:val="en-US"/>
              </w:rPr>
              <w:t>: 124.81 nm)</w:t>
            </w:r>
          </w:p>
        </w:tc>
      </w:tr>
      <w:tr w:rsidR="00CC3DB5" w:rsidRPr="00040DCF" w14:paraId="5A47CCD7" w14:textId="77777777" w:rsidTr="002957F3">
        <w:trPr>
          <w:trHeight w:val="243"/>
        </w:trPr>
        <w:tc>
          <w:tcPr>
            <w:cnfStyle w:val="001000000000" w:firstRow="0" w:lastRow="0" w:firstColumn="1" w:lastColumn="0" w:oddVBand="0" w:evenVBand="0" w:oddHBand="0" w:evenHBand="0" w:firstRowFirstColumn="0" w:firstRowLastColumn="0" w:lastRowFirstColumn="0" w:lastRowLastColumn="0"/>
            <w:tcW w:w="1526" w:type="dxa"/>
            <w:vMerge/>
          </w:tcPr>
          <w:p w14:paraId="60F889D0" w14:textId="77777777" w:rsidR="000144A8" w:rsidRPr="00040DCF" w:rsidRDefault="000144A8" w:rsidP="00ED0535">
            <w:pPr>
              <w:spacing w:line="240" w:lineRule="auto"/>
              <w:rPr>
                <w:rFonts w:ascii="Calibri" w:eastAsia="SimSun" w:hAnsi="Calibri"/>
                <w:b w:val="0"/>
                <w:bCs w:val="0"/>
                <w:szCs w:val="22"/>
                <w:lang w:val="en-US"/>
              </w:rPr>
            </w:pPr>
          </w:p>
        </w:tc>
        <w:tc>
          <w:tcPr>
            <w:tcW w:w="4413" w:type="dxa"/>
            <w:tcBorders>
              <w:top w:val="single" w:sz="4" w:space="0" w:color="7F7F7F"/>
              <w:bottom w:val="single" w:sz="12" w:space="0" w:color="7F7F7F"/>
            </w:tcBorders>
          </w:tcPr>
          <w:p w14:paraId="39CBE381"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 Flat contact IHC 2 with IHC 3</w:t>
            </w:r>
          </w:p>
          <w:p w14:paraId="5DE397C4"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 Fusion site between IHC 2 and IHC 3</w:t>
            </w:r>
          </w:p>
          <w:p w14:paraId="7F42141D"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 Fusion site between IHC 2 and IHC 3</w:t>
            </w:r>
          </w:p>
          <w:p w14:paraId="250A9B8A"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4. Fusion site between IHC 2 and IHC 3</w:t>
            </w:r>
          </w:p>
          <w:p w14:paraId="22FDD27A"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 Filopodial contact IHC 2 with IHC 3</w:t>
            </w:r>
          </w:p>
        </w:tc>
        <w:tc>
          <w:tcPr>
            <w:tcW w:w="1276" w:type="dxa"/>
            <w:tcBorders>
              <w:top w:val="single" w:sz="4" w:space="0" w:color="7F7F7F"/>
              <w:bottom w:val="single" w:sz="12" w:space="0" w:color="7F7F7F"/>
            </w:tcBorders>
          </w:tcPr>
          <w:p w14:paraId="7E8067E3"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1-1112</w:t>
            </w:r>
          </w:p>
          <w:p w14:paraId="1F1E59F1"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115-121</w:t>
            </w:r>
          </w:p>
          <w:p w14:paraId="6A6D2A5F"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519-526</w:t>
            </w:r>
          </w:p>
          <w:p w14:paraId="78FF64B6"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1171</w:t>
            </w:r>
          </w:p>
          <w:p w14:paraId="78C79106"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1730-1768</w:t>
            </w:r>
          </w:p>
        </w:tc>
        <w:tc>
          <w:tcPr>
            <w:tcW w:w="2976" w:type="dxa"/>
            <w:tcBorders>
              <w:top w:val="single" w:sz="4" w:space="0" w:color="7F7F7F"/>
              <w:bottom w:val="single" w:sz="12" w:space="0" w:color="7F7F7F"/>
            </w:tcBorders>
          </w:tcPr>
          <w:p w14:paraId="1B139D93"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5.56 µm</w:t>
            </w:r>
          </w:p>
          <w:p w14:paraId="5A90D6C2"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 xml:space="preserve">30 nm </w:t>
            </w:r>
            <w:proofErr w:type="gramStart"/>
            <w:r w:rsidRPr="00040DCF">
              <w:rPr>
                <w:rFonts w:ascii="Calibri" w:eastAsia="SimSun" w:hAnsi="Calibri"/>
                <w:szCs w:val="22"/>
                <w:lang w:val="en-US"/>
              </w:rPr>
              <w:t xml:space="preserve">( </w:t>
            </w:r>
            <w:proofErr w:type="spellStart"/>
            <w:r w:rsidRPr="00040DCF">
              <w:rPr>
                <w:rFonts w:ascii="Calibri" w:eastAsia="SimSun" w:hAnsi="Calibri"/>
                <w:szCs w:val="22"/>
                <w:lang w:val="en-US"/>
              </w:rPr>
              <w:t>xy</w:t>
            </w:r>
            <w:proofErr w:type="spellEnd"/>
            <w:proofErr w:type="gramEnd"/>
            <w:r w:rsidRPr="00040DCF">
              <w:rPr>
                <w:rFonts w:ascii="Calibri" w:eastAsia="SimSun" w:hAnsi="Calibri"/>
                <w:szCs w:val="22"/>
                <w:lang w:val="en-US"/>
              </w:rPr>
              <w:t>: 101.98 nm)</w:t>
            </w:r>
          </w:p>
          <w:p w14:paraId="018BBFD3"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 xml:space="preserve">35 nm </w:t>
            </w:r>
            <w:proofErr w:type="gramStart"/>
            <w:r w:rsidRPr="00040DCF">
              <w:rPr>
                <w:rFonts w:ascii="Calibri" w:eastAsia="SimSun" w:hAnsi="Calibri"/>
                <w:szCs w:val="22"/>
                <w:lang w:val="en-US"/>
              </w:rPr>
              <w:t xml:space="preserve">( </w:t>
            </w:r>
            <w:proofErr w:type="spellStart"/>
            <w:r w:rsidRPr="00040DCF">
              <w:rPr>
                <w:rFonts w:ascii="Calibri" w:eastAsia="SimSun" w:hAnsi="Calibri"/>
                <w:szCs w:val="22"/>
                <w:lang w:val="en-US"/>
              </w:rPr>
              <w:t>xy</w:t>
            </w:r>
            <w:proofErr w:type="spellEnd"/>
            <w:proofErr w:type="gramEnd"/>
            <w:r w:rsidRPr="00040DCF">
              <w:rPr>
                <w:rFonts w:ascii="Calibri" w:eastAsia="SimSun" w:hAnsi="Calibri"/>
                <w:szCs w:val="22"/>
                <w:lang w:val="en-US"/>
              </w:rPr>
              <w:t>: 146.82 nm)</w:t>
            </w:r>
          </w:p>
          <w:p w14:paraId="694AB1FB"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 xml:space="preserve">5 nm </w:t>
            </w:r>
            <w:proofErr w:type="gramStart"/>
            <w:r w:rsidRPr="00040DCF">
              <w:rPr>
                <w:rFonts w:ascii="Calibri" w:eastAsia="SimSun" w:hAnsi="Calibri"/>
                <w:szCs w:val="22"/>
                <w:lang w:val="en-US"/>
              </w:rPr>
              <w:t xml:space="preserve">( </w:t>
            </w:r>
            <w:proofErr w:type="spellStart"/>
            <w:r w:rsidRPr="00040DCF">
              <w:rPr>
                <w:rFonts w:ascii="Calibri" w:eastAsia="SimSun" w:hAnsi="Calibri"/>
                <w:szCs w:val="22"/>
                <w:lang w:val="en-US"/>
              </w:rPr>
              <w:t>xy</w:t>
            </w:r>
            <w:proofErr w:type="spellEnd"/>
            <w:proofErr w:type="gramEnd"/>
            <w:r w:rsidRPr="00040DCF">
              <w:rPr>
                <w:rFonts w:ascii="Calibri" w:eastAsia="SimSun" w:hAnsi="Calibri"/>
                <w:szCs w:val="22"/>
                <w:lang w:val="en-US"/>
              </w:rPr>
              <w:t>: 123.69 nm)</w:t>
            </w:r>
          </w:p>
          <w:p w14:paraId="719ACA17"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190 nm</w:t>
            </w:r>
          </w:p>
        </w:tc>
      </w:tr>
      <w:tr w:rsidR="00CC3DB5" w:rsidRPr="00040DCF" w14:paraId="5901D607" w14:textId="77777777" w:rsidTr="002957F3">
        <w:trPr>
          <w:trHeight w:val="243"/>
        </w:trPr>
        <w:tc>
          <w:tcPr>
            <w:cnfStyle w:val="001000000000" w:firstRow="0" w:lastRow="0" w:firstColumn="1" w:lastColumn="0" w:oddVBand="0" w:evenVBand="0" w:oddHBand="0" w:evenHBand="0" w:firstRowFirstColumn="0" w:firstRowLastColumn="0" w:lastRowFirstColumn="0" w:lastRowLastColumn="0"/>
            <w:tcW w:w="1526" w:type="dxa"/>
            <w:vMerge w:val="restart"/>
            <w:tcBorders>
              <w:top w:val="single" w:sz="12" w:space="0" w:color="7F7F7F"/>
            </w:tcBorders>
          </w:tcPr>
          <w:p w14:paraId="178AF9F5" w14:textId="77777777" w:rsidR="001966D9" w:rsidRPr="00040DCF" w:rsidRDefault="000144A8" w:rsidP="00ED0535">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 xml:space="preserve">P37 </w:t>
            </w:r>
          </w:p>
          <w:p w14:paraId="43E0222B" w14:textId="1FBAA270" w:rsidR="001966D9" w:rsidRPr="00040DCF" w:rsidRDefault="000144A8" w:rsidP="00ED0535">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w:t>
            </w:r>
            <w:r w:rsidR="001966D9" w:rsidRPr="00040DCF">
              <w:rPr>
                <w:rFonts w:ascii="Calibri" w:eastAsia="SimSun" w:hAnsi="Calibri"/>
                <w:b w:val="0"/>
                <w:bCs w:val="0"/>
                <w:szCs w:val="22"/>
                <w:lang w:val="en-US"/>
              </w:rPr>
              <w:t>FIB-</w:t>
            </w:r>
            <w:r w:rsidRPr="00040DCF">
              <w:rPr>
                <w:rFonts w:ascii="Calibri" w:eastAsia="SimSun" w:hAnsi="Calibri"/>
                <w:b w:val="0"/>
                <w:bCs w:val="0"/>
                <w:szCs w:val="22"/>
                <w:lang w:val="en-US"/>
              </w:rPr>
              <w:t xml:space="preserve">run </w:t>
            </w:r>
            <w:r w:rsidR="007C4BE3" w:rsidRPr="00040DCF">
              <w:rPr>
                <w:rFonts w:ascii="Calibri" w:eastAsia="SimSun" w:hAnsi="Calibri"/>
                <w:b w:val="0"/>
                <w:bCs w:val="0"/>
                <w:szCs w:val="22"/>
                <w:lang w:val="en-US"/>
              </w:rPr>
              <w:t>#</w:t>
            </w:r>
            <w:r w:rsidRPr="00040DCF">
              <w:rPr>
                <w:rFonts w:ascii="Calibri" w:eastAsia="SimSun" w:hAnsi="Calibri"/>
                <w:b w:val="0"/>
                <w:bCs w:val="0"/>
                <w:szCs w:val="22"/>
                <w:lang w:val="en-US"/>
              </w:rPr>
              <w:t>3</w:t>
            </w:r>
            <w:r w:rsidR="001966D9" w:rsidRPr="00040DCF">
              <w:rPr>
                <w:rFonts w:ascii="Calibri" w:eastAsia="SimSun" w:hAnsi="Calibri"/>
                <w:b w:val="0"/>
                <w:bCs w:val="0"/>
                <w:szCs w:val="22"/>
                <w:lang w:val="en-US"/>
              </w:rPr>
              <w:t>,</w:t>
            </w:r>
          </w:p>
          <w:p w14:paraId="0F8A30F2" w14:textId="7DF2E7D0" w:rsidR="000144A8" w:rsidRPr="00040DCF" w:rsidRDefault="001966D9" w:rsidP="00ED0535">
            <w:pPr>
              <w:spacing w:line="240" w:lineRule="auto"/>
              <w:rPr>
                <w:rFonts w:ascii="Calibri" w:eastAsia="SimSun" w:hAnsi="Calibri"/>
                <w:b w:val="0"/>
                <w:bCs w:val="0"/>
                <w:szCs w:val="22"/>
                <w:lang w:val="en-US"/>
              </w:rPr>
            </w:pPr>
            <w:r w:rsidRPr="00040DCF">
              <w:rPr>
                <w:rFonts w:ascii="Calibri" w:eastAsia="SimSun" w:hAnsi="Calibri"/>
                <w:b w:val="0"/>
                <w:bCs w:val="0"/>
                <w:szCs w:val="22"/>
                <w:lang w:val="en-US"/>
              </w:rPr>
              <w:t>animal 2</w:t>
            </w:r>
            <w:r w:rsidR="000144A8" w:rsidRPr="00040DCF">
              <w:rPr>
                <w:rFonts w:ascii="Calibri" w:eastAsia="SimSun" w:hAnsi="Calibri"/>
                <w:b w:val="0"/>
                <w:bCs w:val="0"/>
                <w:szCs w:val="22"/>
                <w:lang w:val="en-US"/>
              </w:rPr>
              <w:t>)</w:t>
            </w:r>
          </w:p>
        </w:tc>
        <w:tc>
          <w:tcPr>
            <w:tcW w:w="4413" w:type="dxa"/>
            <w:tcBorders>
              <w:top w:val="single" w:sz="12" w:space="0" w:color="7F7F7F"/>
              <w:bottom w:val="single" w:sz="2" w:space="0" w:color="7F7F7F"/>
            </w:tcBorders>
          </w:tcPr>
          <w:p w14:paraId="4384696A"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 Flat contact IHC 1 with IHC 2</w:t>
            </w:r>
          </w:p>
        </w:tc>
        <w:tc>
          <w:tcPr>
            <w:tcW w:w="1276" w:type="dxa"/>
            <w:tcBorders>
              <w:top w:val="single" w:sz="12" w:space="0" w:color="7F7F7F"/>
            </w:tcBorders>
          </w:tcPr>
          <w:p w14:paraId="49CCD582"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11-22</w:t>
            </w:r>
          </w:p>
        </w:tc>
        <w:tc>
          <w:tcPr>
            <w:tcW w:w="2976" w:type="dxa"/>
            <w:tcBorders>
              <w:top w:val="single" w:sz="12" w:space="0" w:color="7F7F7F"/>
            </w:tcBorders>
          </w:tcPr>
          <w:p w14:paraId="5227B970"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55 nm</w:t>
            </w:r>
          </w:p>
        </w:tc>
      </w:tr>
      <w:tr w:rsidR="00CC3DB5" w:rsidRPr="00040DCF" w14:paraId="46D43484" w14:textId="77777777" w:rsidTr="002957F3">
        <w:trPr>
          <w:trHeight w:val="807"/>
        </w:trPr>
        <w:tc>
          <w:tcPr>
            <w:cnfStyle w:val="001000000000" w:firstRow="0" w:lastRow="0" w:firstColumn="1" w:lastColumn="0" w:oddVBand="0" w:evenVBand="0" w:oddHBand="0" w:evenHBand="0" w:firstRowFirstColumn="0" w:firstRowLastColumn="0" w:lastRowFirstColumn="0" w:lastRowLastColumn="0"/>
            <w:tcW w:w="1526" w:type="dxa"/>
            <w:vMerge/>
          </w:tcPr>
          <w:p w14:paraId="367CAA4D" w14:textId="77777777" w:rsidR="000144A8" w:rsidRPr="00040DCF" w:rsidRDefault="000144A8" w:rsidP="00ED0535">
            <w:pPr>
              <w:spacing w:line="240" w:lineRule="auto"/>
              <w:rPr>
                <w:rFonts w:ascii="Calibri" w:eastAsia="SimSun" w:hAnsi="Calibri"/>
                <w:b w:val="0"/>
                <w:bCs w:val="0"/>
                <w:szCs w:val="22"/>
                <w:lang w:val="en-US"/>
              </w:rPr>
            </w:pPr>
          </w:p>
        </w:tc>
        <w:tc>
          <w:tcPr>
            <w:tcW w:w="4413" w:type="dxa"/>
            <w:tcBorders>
              <w:top w:val="single" w:sz="2" w:space="0" w:color="7F7F7F"/>
              <w:bottom w:val="single" w:sz="2" w:space="0" w:color="7F7F7F"/>
            </w:tcBorders>
          </w:tcPr>
          <w:p w14:paraId="679E2B0E"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 Flat contact IHC 2 with IHC 3</w:t>
            </w:r>
          </w:p>
          <w:p w14:paraId="39E6A52F"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 Filopodial contact IHC 2 with IHC 3</w:t>
            </w:r>
          </w:p>
          <w:p w14:paraId="605BC188"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 Flat contact IHC 2 with IHC 3</w:t>
            </w:r>
          </w:p>
        </w:tc>
        <w:tc>
          <w:tcPr>
            <w:tcW w:w="1276" w:type="dxa"/>
          </w:tcPr>
          <w:p w14:paraId="3B1C66DB"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12-25</w:t>
            </w:r>
          </w:p>
          <w:p w14:paraId="4BA2C157"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234-275</w:t>
            </w:r>
          </w:p>
          <w:p w14:paraId="3DE00205"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1717-1862</w:t>
            </w:r>
          </w:p>
        </w:tc>
        <w:tc>
          <w:tcPr>
            <w:tcW w:w="2976" w:type="dxa"/>
          </w:tcPr>
          <w:p w14:paraId="55BA445E"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65 nm</w:t>
            </w:r>
          </w:p>
          <w:p w14:paraId="65DDC015"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205 nm</w:t>
            </w:r>
          </w:p>
          <w:p w14:paraId="071EE217"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725 nm</w:t>
            </w:r>
          </w:p>
        </w:tc>
      </w:tr>
      <w:tr w:rsidR="00CC3DB5" w:rsidRPr="00040DCF" w14:paraId="0D74DE34" w14:textId="77777777" w:rsidTr="002957F3">
        <w:trPr>
          <w:trHeight w:val="1610"/>
        </w:trPr>
        <w:tc>
          <w:tcPr>
            <w:cnfStyle w:val="001000000000" w:firstRow="0" w:lastRow="0" w:firstColumn="1" w:lastColumn="0" w:oddVBand="0" w:evenVBand="0" w:oddHBand="0" w:evenHBand="0" w:firstRowFirstColumn="0" w:firstRowLastColumn="0" w:lastRowFirstColumn="0" w:lastRowLastColumn="0"/>
            <w:tcW w:w="1526" w:type="dxa"/>
            <w:vMerge/>
          </w:tcPr>
          <w:p w14:paraId="55EF9394" w14:textId="77777777" w:rsidR="000144A8" w:rsidRPr="00040DCF" w:rsidRDefault="000144A8" w:rsidP="00ED0535">
            <w:pPr>
              <w:spacing w:line="240" w:lineRule="auto"/>
              <w:rPr>
                <w:rFonts w:ascii="Calibri" w:eastAsia="SimSun" w:hAnsi="Calibri"/>
                <w:b w:val="0"/>
                <w:bCs w:val="0"/>
                <w:szCs w:val="22"/>
                <w:lang w:val="en-US"/>
              </w:rPr>
            </w:pPr>
          </w:p>
        </w:tc>
        <w:tc>
          <w:tcPr>
            <w:tcW w:w="4413" w:type="dxa"/>
            <w:tcBorders>
              <w:top w:val="single" w:sz="2" w:space="0" w:color="7F7F7F"/>
            </w:tcBorders>
          </w:tcPr>
          <w:p w14:paraId="62FD769F"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 Flat contact IHC 3 with IHC 4</w:t>
            </w:r>
          </w:p>
          <w:p w14:paraId="30BC9425"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 Flat contact IHC 3 with IHC 4</w:t>
            </w:r>
          </w:p>
          <w:p w14:paraId="4D8C15E0"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 Fusion site between IHC 3 and IHC 4</w:t>
            </w:r>
          </w:p>
          <w:p w14:paraId="12300254"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4. Fusion site between IHC 3 and IHC 4</w:t>
            </w:r>
          </w:p>
          <w:p w14:paraId="56D5FCB9"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 Fusion site between IHC 3 and IHC 4</w:t>
            </w:r>
          </w:p>
          <w:p w14:paraId="6A4D257D"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6. Fusion site between IHC 3 and IHC 4</w:t>
            </w:r>
          </w:p>
        </w:tc>
        <w:tc>
          <w:tcPr>
            <w:tcW w:w="1276" w:type="dxa"/>
          </w:tcPr>
          <w:p w14:paraId="2CA415E9"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304-314</w:t>
            </w:r>
          </w:p>
          <w:p w14:paraId="2DE95BE5"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1445-2128</w:t>
            </w:r>
          </w:p>
          <w:p w14:paraId="6C772845"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1653-1661</w:t>
            </w:r>
          </w:p>
          <w:p w14:paraId="3250D53B"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1706-1709</w:t>
            </w:r>
          </w:p>
          <w:p w14:paraId="6210FD24"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1821-1824</w:t>
            </w:r>
          </w:p>
          <w:p w14:paraId="40CC3D92"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2233-2244</w:t>
            </w:r>
          </w:p>
        </w:tc>
        <w:tc>
          <w:tcPr>
            <w:tcW w:w="2976" w:type="dxa"/>
          </w:tcPr>
          <w:p w14:paraId="7662EEAA"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50 nm</w:t>
            </w:r>
          </w:p>
          <w:p w14:paraId="4C6AEDC9" w14:textId="7777777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3.42 µm</w:t>
            </w:r>
          </w:p>
          <w:p w14:paraId="3D3125F1" w14:textId="3C977308"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40 nm (</w:t>
            </w:r>
            <w:proofErr w:type="spellStart"/>
            <w:r w:rsidRPr="00040DCF">
              <w:rPr>
                <w:rFonts w:ascii="Calibri" w:eastAsia="SimSun" w:hAnsi="Calibri"/>
                <w:szCs w:val="22"/>
                <w:lang w:val="en-US"/>
              </w:rPr>
              <w:t>xy</w:t>
            </w:r>
            <w:proofErr w:type="spellEnd"/>
            <w:r w:rsidRPr="00040DCF">
              <w:rPr>
                <w:rFonts w:ascii="Calibri" w:eastAsia="SimSun" w:hAnsi="Calibri"/>
                <w:szCs w:val="22"/>
                <w:lang w:val="en-US"/>
              </w:rPr>
              <w:t>: 30.15 nm)</w:t>
            </w:r>
          </w:p>
          <w:p w14:paraId="218953F0" w14:textId="1924DA57"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15 nm (</w:t>
            </w:r>
            <w:proofErr w:type="spellStart"/>
            <w:r w:rsidRPr="00040DCF">
              <w:rPr>
                <w:rFonts w:ascii="Calibri" w:eastAsia="SimSun" w:hAnsi="Calibri"/>
                <w:szCs w:val="22"/>
                <w:lang w:val="en-US"/>
              </w:rPr>
              <w:t>xy</w:t>
            </w:r>
            <w:proofErr w:type="spellEnd"/>
            <w:r w:rsidRPr="00040DCF">
              <w:rPr>
                <w:rFonts w:ascii="Calibri" w:eastAsia="SimSun" w:hAnsi="Calibri"/>
                <w:szCs w:val="22"/>
                <w:lang w:val="en-US"/>
              </w:rPr>
              <w:t>: 14.42 nm)</w:t>
            </w:r>
          </w:p>
          <w:p w14:paraId="2C65D94F" w14:textId="35D90CAE" w:rsidR="000144A8" w:rsidRPr="00040DCF" w:rsidRDefault="000144A8" w:rsidP="00ED0535">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15 nm (</w:t>
            </w:r>
            <w:proofErr w:type="spellStart"/>
            <w:r w:rsidRPr="00040DCF">
              <w:rPr>
                <w:rFonts w:ascii="Calibri" w:eastAsia="SimSun" w:hAnsi="Calibri"/>
                <w:szCs w:val="22"/>
                <w:lang w:val="en-US"/>
              </w:rPr>
              <w:t>xy</w:t>
            </w:r>
            <w:proofErr w:type="spellEnd"/>
            <w:r w:rsidRPr="00040DCF">
              <w:rPr>
                <w:rFonts w:ascii="Calibri" w:eastAsia="SimSun" w:hAnsi="Calibri"/>
                <w:szCs w:val="22"/>
                <w:lang w:val="en-US"/>
              </w:rPr>
              <w:t>: 15.23 nm)</w:t>
            </w:r>
          </w:p>
          <w:p w14:paraId="5A4E6B3D" w14:textId="62C83737" w:rsidR="000144A8" w:rsidRPr="00040DCF" w:rsidRDefault="000144A8" w:rsidP="000A1473">
            <w:pPr>
              <w:spacing w:line="240" w:lineRule="auto"/>
              <w:cnfStyle w:val="000000000000" w:firstRow="0" w:lastRow="0" w:firstColumn="0" w:lastColumn="0" w:oddVBand="0" w:evenVBand="0" w:oddHBand="0" w:evenHBand="0" w:firstRowFirstColumn="0" w:firstRowLastColumn="0" w:lastRowFirstColumn="0" w:lastRowLastColumn="0"/>
              <w:rPr>
                <w:rFonts w:ascii="Calibri" w:eastAsia="SimSun" w:hAnsi="Calibri"/>
                <w:szCs w:val="22"/>
                <w:lang w:val="en-US"/>
              </w:rPr>
            </w:pPr>
            <w:r w:rsidRPr="00040DCF">
              <w:rPr>
                <w:rFonts w:ascii="Calibri" w:eastAsia="SimSun" w:hAnsi="Calibri"/>
                <w:szCs w:val="22"/>
                <w:lang w:val="en-US"/>
              </w:rPr>
              <w:t>55 nm (</w:t>
            </w:r>
            <w:proofErr w:type="spellStart"/>
            <w:r w:rsidRPr="00040DCF">
              <w:rPr>
                <w:rFonts w:ascii="Calibri" w:eastAsia="SimSun" w:hAnsi="Calibri"/>
                <w:szCs w:val="22"/>
                <w:lang w:val="en-US"/>
              </w:rPr>
              <w:t>xy</w:t>
            </w:r>
            <w:proofErr w:type="spellEnd"/>
            <w:r w:rsidRPr="00040DCF">
              <w:rPr>
                <w:rFonts w:ascii="Calibri" w:eastAsia="SimSun" w:hAnsi="Calibri"/>
                <w:szCs w:val="22"/>
                <w:lang w:val="en-US"/>
              </w:rPr>
              <w:t>: 52.80 nm)</w:t>
            </w:r>
          </w:p>
        </w:tc>
      </w:tr>
    </w:tbl>
    <w:p w14:paraId="2D886505" w14:textId="35FB282D" w:rsidR="00800C1B" w:rsidRPr="00CC3DB5" w:rsidRDefault="001F70F5" w:rsidP="0057493F">
      <w:pPr>
        <w:spacing w:line="240" w:lineRule="auto"/>
        <w:jc w:val="both"/>
        <w:rPr>
          <w:b/>
          <w:sz w:val="22"/>
        </w:rPr>
      </w:pPr>
      <w:r w:rsidRPr="00CC3DB5">
        <w:rPr>
          <w:b/>
          <w:sz w:val="22"/>
        </w:rPr>
        <w:t>Table S1. Quantification of contact sites and putative IHC fusion sites in the FIB data</w:t>
      </w:r>
      <w:r w:rsidR="0057493F" w:rsidRPr="00CC3DB5">
        <w:rPr>
          <w:b/>
          <w:sz w:val="22"/>
        </w:rPr>
        <w:t xml:space="preserve">. </w:t>
      </w:r>
      <w:r w:rsidR="006211A3" w:rsidRPr="00CC3DB5">
        <w:rPr>
          <w:sz w:val="22"/>
        </w:rPr>
        <w:t>IHC-IHC membrane contacts are categorized into</w:t>
      </w:r>
      <w:r w:rsidR="00504C67" w:rsidRPr="00CC3DB5">
        <w:rPr>
          <w:sz w:val="22"/>
        </w:rPr>
        <w:t xml:space="preserve"> </w:t>
      </w:r>
      <w:r w:rsidR="006211A3" w:rsidRPr="00CC3DB5">
        <w:rPr>
          <w:sz w:val="22"/>
        </w:rPr>
        <w:t xml:space="preserve">contact sites via a filopodium touching the </w:t>
      </w:r>
      <w:proofErr w:type="spellStart"/>
      <w:r w:rsidR="006211A3" w:rsidRPr="00CC3DB5">
        <w:rPr>
          <w:sz w:val="22"/>
        </w:rPr>
        <w:t>neighboring</w:t>
      </w:r>
      <w:proofErr w:type="spellEnd"/>
      <w:r w:rsidR="006211A3" w:rsidRPr="00CC3DB5">
        <w:rPr>
          <w:sz w:val="22"/>
        </w:rPr>
        <w:t xml:space="preserve"> IHC (filopodial contact) and </w:t>
      </w:r>
      <w:r w:rsidR="00504C67" w:rsidRPr="00CC3DB5">
        <w:rPr>
          <w:sz w:val="22"/>
        </w:rPr>
        <w:t xml:space="preserve">flat membrane </w:t>
      </w:r>
      <w:r w:rsidR="006211A3" w:rsidRPr="00CC3DB5">
        <w:rPr>
          <w:sz w:val="22"/>
        </w:rPr>
        <w:t>contacts</w:t>
      </w:r>
      <w:r w:rsidR="00504C67" w:rsidRPr="00CC3DB5">
        <w:rPr>
          <w:sz w:val="22"/>
        </w:rPr>
        <w:t>.</w:t>
      </w:r>
      <w:r w:rsidR="006211A3" w:rsidRPr="00CC3DB5">
        <w:rPr>
          <w:sz w:val="22"/>
        </w:rPr>
        <w:t xml:space="preserve"> </w:t>
      </w:r>
      <w:r w:rsidR="00504C67" w:rsidRPr="00CC3DB5">
        <w:rPr>
          <w:sz w:val="22"/>
        </w:rPr>
        <w:t xml:space="preserve">Both contact categories can contain </w:t>
      </w:r>
      <w:r w:rsidR="006211A3" w:rsidRPr="00CC3DB5">
        <w:rPr>
          <w:sz w:val="22"/>
        </w:rPr>
        <w:t>perforations</w:t>
      </w:r>
      <w:r w:rsidR="00504C67" w:rsidRPr="00CC3DB5">
        <w:rPr>
          <w:sz w:val="22"/>
        </w:rPr>
        <w:t>,</w:t>
      </w:r>
      <w:r w:rsidR="006211A3" w:rsidRPr="00CC3DB5">
        <w:rPr>
          <w:sz w:val="22"/>
        </w:rPr>
        <w:t xml:space="preserve"> </w:t>
      </w:r>
      <w:r w:rsidR="00504C67" w:rsidRPr="00CC3DB5">
        <w:rPr>
          <w:sz w:val="22"/>
        </w:rPr>
        <w:t xml:space="preserve">likely </w:t>
      </w:r>
      <w:r w:rsidR="006211A3" w:rsidRPr="00CC3DB5">
        <w:rPr>
          <w:sz w:val="22"/>
        </w:rPr>
        <w:t xml:space="preserve">due to the fusion of membranes of two </w:t>
      </w:r>
      <w:proofErr w:type="spellStart"/>
      <w:r w:rsidR="006211A3" w:rsidRPr="00CC3DB5">
        <w:rPr>
          <w:sz w:val="22"/>
        </w:rPr>
        <w:t>neighboring</w:t>
      </w:r>
      <w:proofErr w:type="spellEnd"/>
      <w:r w:rsidR="006211A3" w:rsidRPr="00CC3DB5">
        <w:rPr>
          <w:sz w:val="22"/>
        </w:rPr>
        <w:t xml:space="preserve"> IHCs (</w:t>
      </w:r>
      <w:r w:rsidR="00504C67" w:rsidRPr="00CC3DB5">
        <w:rPr>
          <w:sz w:val="22"/>
        </w:rPr>
        <w:t>putative IHC fusion sites</w:t>
      </w:r>
      <w:r w:rsidR="006211A3" w:rsidRPr="00CC3DB5">
        <w:rPr>
          <w:sz w:val="22"/>
        </w:rPr>
        <w:t>). In P34/37 IHCs,</w:t>
      </w:r>
      <w:r w:rsidR="00504C67" w:rsidRPr="00CC3DB5">
        <w:rPr>
          <w:sz w:val="22"/>
        </w:rPr>
        <w:t xml:space="preserve"> the flat contacts as well as putative IHC fusion sites are more prevalent</w:t>
      </w:r>
      <w:r w:rsidR="003507EC" w:rsidRPr="00CC3DB5">
        <w:rPr>
          <w:sz w:val="22"/>
        </w:rPr>
        <w:t xml:space="preserve"> than at </w:t>
      </w:r>
      <w:r w:rsidR="006211A3" w:rsidRPr="00CC3DB5">
        <w:rPr>
          <w:sz w:val="22"/>
        </w:rPr>
        <w:t>P15/16 IHCs,</w:t>
      </w:r>
      <w:r w:rsidR="003507EC" w:rsidRPr="00CC3DB5">
        <w:rPr>
          <w:sz w:val="22"/>
        </w:rPr>
        <w:t xml:space="preserve"> when</w:t>
      </w:r>
      <w:r w:rsidR="006211A3" w:rsidRPr="00CC3DB5">
        <w:rPr>
          <w:sz w:val="22"/>
        </w:rPr>
        <w:t xml:space="preserve"> the filopodial contacts prevail</w:t>
      </w:r>
      <w:r w:rsidR="003507EC" w:rsidRPr="00CC3DB5">
        <w:rPr>
          <w:sz w:val="22"/>
        </w:rPr>
        <w:t xml:space="preserve"> (Table </w:t>
      </w:r>
      <w:r w:rsidR="00C26274" w:rsidRPr="00CC3DB5">
        <w:rPr>
          <w:sz w:val="22"/>
        </w:rPr>
        <w:t>1</w:t>
      </w:r>
      <w:r w:rsidR="003507EC" w:rsidRPr="00CC3DB5">
        <w:rPr>
          <w:sz w:val="22"/>
        </w:rPr>
        <w:t xml:space="preserve"> for </w:t>
      </w:r>
      <w:r w:rsidR="00C26274" w:rsidRPr="00CC3DB5">
        <w:rPr>
          <w:sz w:val="22"/>
        </w:rPr>
        <w:t>summary</w:t>
      </w:r>
      <w:r w:rsidR="003507EC" w:rsidRPr="00CC3DB5">
        <w:rPr>
          <w:sz w:val="22"/>
        </w:rPr>
        <w:t>)</w:t>
      </w:r>
      <w:r w:rsidR="006211A3" w:rsidRPr="00CC3DB5">
        <w:rPr>
          <w:sz w:val="22"/>
        </w:rPr>
        <w:t xml:space="preserve">. The length of the individual contact sites in z is calculated via the number of sections, each section accounts for 5 nm. The </w:t>
      </w:r>
      <w:proofErr w:type="spellStart"/>
      <w:r w:rsidR="006211A3" w:rsidRPr="00CC3DB5">
        <w:rPr>
          <w:sz w:val="22"/>
        </w:rPr>
        <w:t>xy</w:t>
      </w:r>
      <w:proofErr w:type="spellEnd"/>
      <w:r w:rsidR="006211A3" w:rsidRPr="00CC3DB5">
        <w:rPr>
          <w:sz w:val="22"/>
        </w:rPr>
        <w:t xml:space="preserve"> length of the syncytial contacts was measured in the section with the largest extend of the perforation in 3dmod. In each dataset, one full IHC was visible</w:t>
      </w:r>
      <w:r w:rsidR="00550AF6" w:rsidRPr="00CC3DB5">
        <w:rPr>
          <w:sz w:val="22"/>
        </w:rPr>
        <w:t xml:space="preserve"> in the region of interest</w:t>
      </w:r>
      <w:r w:rsidR="006211A3" w:rsidRPr="00CC3DB5">
        <w:rPr>
          <w:sz w:val="22"/>
        </w:rPr>
        <w:t xml:space="preserve">, flanked by </w:t>
      </w:r>
      <w:proofErr w:type="spellStart"/>
      <w:r w:rsidR="006211A3" w:rsidRPr="00CC3DB5">
        <w:rPr>
          <w:sz w:val="22"/>
        </w:rPr>
        <w:t>neighboring</w:t>
      </w:r>
      <w:proofErr w:type="spellEnd"/>
      <w:r w:rsidR="006211A3" w:rsidRPr="00CC3DB5">
        <w:rPr>
          <w:sz w:val="22"/>
        </w:rPr>
        <w:t xml:space="preserve"> IHCs that were only partially visible, but showing the full membrane contact</w:t>
      </w:r>
      <w:r w:rsidR="00C26274" w:rsidRPr="00CC3DB5">
        <w:rPr>
          <w:sz w:val="22"/>
        </w:rPr>
        <w:t xml:space="preserve"> (</w:t>
      </w:r>
      <w:r w:rsidR="00C32E48" w:rsidRPr="00CC3DB5">
        <w:rPr>
          <w:sz w:val="22"/>
        </w:rPr>
        <w:t xml:space="preserve">see also </w:t>
      </w:r>
      <w:r w:rsidR="00C26274" w:rsidRPr="00CC3DB5">
        <w:rPr>
          <w:sz w:val="22"/>
        </w:rPr>
        <w:t>Fi</w:t>
      </w:r>
      <w:r w:rsidR="00897D9C" w:rsidRPr="00CC3DB5">
        <w:rPr>
          <w:sz w:val="22"/>
        </w:rPr>
        <w:t>g.</w:t>
      </w:r>
      <w:r w:rsidR="00C26274" w:rsidRPr="00CC3DB5">
        <w:rPr>
          <w:sz w:val="22"/>
        </w:rPr>
        <w:t xml:space="preserve"> 5)</w:t>
      </w:r>
      <w:r w:rsidR="006211A3" w:rsidRPr="00CC3DB5">
        <w:rPr>
          <w:sz w:val="22"/>
          <w:szCs w:val="24"/>
        </w:rPr>
        <w:t xml:space="preserve">. </w:t>
      </w:r>
      <w:r w:rsidR="002738DD" w:rsidRPr="00CC3DB5">
        <w:rPr>
          <w:i/>
          <w:sz w:val="22"/>
          <w:szCs w:val="24"/>
        </w:rPr>
        <w:t>n</w:t>
      </w:r>
      <w:r w:rsidR="002738DD" w:rsidRPr="00CC3DB5">
        <w:rPr>
          <w:sz w:val="22"/>
          <w:szCs w:val="24"/>
        </w:rPr>
        <w:t xml:space="preserve"> </w:t>
      </w:r>
      <w:r w:rsidR="00504C67" w:rsidRPr="00CC3DB5">
        <w:rPr>
          <w:sz w:val="22"/>
          <w:szCs w:val="24"/>
        </w:rPr>
        <w:t>FIB-SEM run (</w:t>
      </w:r>
      <w:r w:rsidR="006211A3" w:rsidRPr="00CC3DB5">
        <w:rPr>
          <w:sz w:val="22"/>
          <w:szCs w:val="24"/>
        </w:rPr>
        <w:t>P34/37</w:t>
      </w:r>
      <w:r w:rsidR="00504C67" w:rsidRPr="00CC3DB5">
        <w:rPr>
          <w:sz w:val="22"/>
          <w:szCs w:val="24"/>
        </w:rPr>
        <w:t>)</w:t>
      </w:r>
      <w:r w:rsidR="006211A3" w:rsidRPr="00CC3DB5">
        <w:rPr>
          <w:sz w:val="22"/>
          <w:szCs w:val="24"/>
        </w:rPr>
        <w:t xml:space="preserve"> = </w:t>
      </w:r>
      <w:r w:rsidR="00F323E0" w:rsidRPr="00CC3DB5">
        <w:rPr>
          <w:sz w:val="22"/>
          <w:szCs w:val="24"/>
        </w:rPr>
        <w:t>3</w:t>
      </w:r>
      <w:r w:rsidR="00C26274" w:rsidRPr="00CC3DB5">
        <w:rPr>
          <w:sz w:val="22"/>
          <w:szCs w:val="24"/>
        </w:rPr>
        <w:t xml:space="preserve">, </w:t>
      </w:r>
      <w:proofErr w:type="spellStart"/>
      <w:r w:rsidR="004060E0" w:rsidRPr="00040DCF">
        <w:rPr>
          <w:sz w:val="22"/>
          <w:szCs w:val="24"/>
        </w:rPr>
        <w:t>N</w:t>
      </w:r>
      <w:r w:rsidR="004060E0" w:rsidRPr="00040DCF">
        <w:rPr>
          <w:sz w:val="22"/>
          <w:szCs w:val="24"/>
          <w:vertAlign w:val="subscript"/>
        </w:rPr>
        <w:t>animals</w:t>
      </w:r>
      <w:proofErr w:type="spellEnd"/>
      <w:r w:rsidR="004060E0" w:rsidRPr="000A1473">
        <w:rPr>
          <w:sz w:val="22"/>
          <w:szCs w:val="24"/>
        </w:rPr>
        <w:t xml:space="preserve"> </w:t>
      </w:r>
      <w:r w:rsidR="00C26274" w:rsidRPr="00CC3DB5">
        <w:rPr>
          <w:sz w:val="22"/>
          <w:szCs w:val="24"/>
        </w:rPr>
        <w:t>= 2</w:t>
      </w:r>
      <w:r w:rsidR="006211A3" w:rsidRPr="00CC3DB5">
        <w:rPr>
          <w:sz w:val="22"/>
          <w:szCs w:val="24"/>
        </w:rPr>
        <w:t xml:space="preserve">; </w:t>
      </w:r>
      <w:r w:rsidR="002738DD" w:rsidRPr="00CC3DB5">
        <w:rPr>
          <w:i/>
          <w:sz w:val="22"/>
          <w:szCs w:val="24"/>
        </w:rPr>
        <w:t>n</w:t>
      </w:r>
      <w:r w:rsidR="002738DD" w:rsidRPr="00CC3DB5">
        <w:rPr>
          <w:sz w:val="22"/>
          <w:szCs w:val="24"/>
        </w:rPr>
        <w:t xml:space="preserve"> </w:t>
      </w:r>
      <w:r w:rsidR="00504C67" w:rsidRPr="00CC3DB5">
        <w:rPr>
          <w:sz w:val="22"/>
          <w:szCs w:val="24"/>
        </w:rPr>
        <w:t xml:space="preserve">FIB-SEM run </w:t>
      </w:r>
      <w:r w:rsidR="00BA455A" w:rsidRPr="00CC3DB5">
        <w:rPr>
          <w:sz w:val="22"/>
          <w:szCs w:val="24"/>
        </w:rPr>
        <w:t>(</w:t>
      </w:r>
      <w:r w:rsidR="006211A3" w:rsidRPr="00CC3DB5">
        <w:rPr>
          <w:sz w:val="22"/>
          <w:szCs w:val="24"/>
        </w:rPr>
        <w:t>P15/16</w:t>
      </w:r>
      <w:r w:rsidR="00BA455A" w:rsidRPr="00CC3DB5">
        <w:rPr>
          <w:sz w:val="22"/>
          <w:szCs w:val="24"/>
        </w:rPr>
        <w:t>)</w:t>
      </w:r>
      <w:r w:rsidR="006211A3" w:rsidRPr="00CC3DB5">
        <w:rPr>
          <w:sz w:val="22"/>
          <w:szCs w:val="24"/>
        </w:rPr>
        <w:t xml:space="preserve"> = </w:t>
      </w:r>
      <w:r w:rsidR="00F323E0" w:rsidRPr="00CC3DB5">
        <w:rPr>
          <w:sz w:val="22"/>
          <w:szCs w:val="24"/>
        </w:rPr>
        <w:t>3</w:t>
      </w:r>
      <w:r w:rsidR="00C26274" w:rsidRPr="00CC3DB5">
        <w:rPr>
          <w:sz w:val="22"/>
          <w:szCs w:val="24"/>
        </w:rPr>
        <w:t xml:space="preserve">, </w:t>
      </w:r>
      <w:proofErr w:type="spellStart"/>
      <w:r w:rsidR="00C26274" w:rsidRPr="00040DCF">
        <w:rPr>
          <w:sz w:val="22"/>
          <w:szCs w:val="24"/>
        </w:rPr>
        <w:t>N</w:t>
      </w:r>
      <w:r w:rsidR="00C26274" w:rsidRPr="00040DCF">
        <w:rPr>
          <w:sz w:val="22"/>
          <w:szCs w:val="24"/>
          <w:vertAlign w:val="subscript"/>
        </w:rPr>
        <w:t>animals</w:t>
      </w:r>
      <w:proofErr w:type="spellEnd"/>
      <w:r w:rsidR="00C26274" w:rsidRPr="000A1473">
        <w:rPr>
          <w:sz w:val="22"/>
          <w:szCs w:val="24"/>
        </w:rPr>
        <w:t xml:space="preserve"> </w:t>
      </w:r>
      <w:r w:rsidR="00C26274" w:rsidRPr="00CC3DB5">
        <w:rPr>
          <w:sz w:val="22"/>
          <w:szCs w:val="24"/>
        </w:rPr>
        <w:t>= 2</w:t>
      </w:r>
      <w:r w:rsidR="006211A3" w:rsidRPr="00CC3DB5">
        <w:rPr>
          <w:sz w:val="22"/>
          <w:szCs w:val="24"/>
        </w:rPr>
        <w:t>.</w:t>
      </w:r>
      <w:r w:rsidR="00550AF6" w:rsidRPr="00CC3DB5">
        <w:rPr>
          <w:sz w:val="22"/>
          <w:szCs w:val="24"/>
        </w:rPr>
        <w:t xml:space="preserve"> In total, 3 full IHCs with their</w:t>
      </w:r>
      <w:r w:rsidR="00935D2A" w:rsidRPr="00CC3DB5">
        <w:rPr>
          <w:sz w:val="22"/>
          <w:szCs w:val="24"/>
        </w:rPr>
        <w:t xml:space="preserve"> contacts </w:t>
      </w:r>
      <w:r w:rsidR="00240452" w:rsidRPr="00CC3DB5">
        <w:rPr>
          <w:sz w:val="22"/>
          <w:szCs w:val="24"/>
        </w:rPr>
        <w:t>to</w:t>
      </w:r>
      <w:r w:rsidR="00935D2A" w:rsidRPr="00CC3DB5">
        <w:rPr>
          <w:sz w:val="22"/>
          <w:szCs w:val="24"/>
        </w:rPr>
        <w:t xml:space="preserve"> </w:t>
      </w:r>
      <w:proofErr w:type="spellStart"/>
      <w:r w:rsidR="00550AF6" w:rsidRPr="00CC3DB5">
        <w:rPr>
          <w:sz w:val="22"/>
          <w:szCs w:val="24"/>
        </w:rPr>
        <w:t>neighboring</w:t>
      </w:r>
      <w:proofErr w:type="spellEnd"/>
      <w:r w:rsidR="00550AF6" w:rsidRPr="00CC3DB5">
        <w:rPr>
          <w:sz w:val="22"/>
          <w:szCs w:val="24"/>
        </w:rPr>
        <w:t xml:space="preserve"> IHCs were analysed per age group. </w:t>
      </w:r>
      <w:r w:rsidR="00CE4670">
        <w:rPr>
          <w:sz w:val="22"/>
          <w:szCs w:val="24"/>
        </w:rPr>
        <w:t>Per age group 2 independen</w:t>
      </w:r>
      <w:r w:rsidR="00C031B5">
        <w:rPr>
          <w:sz w:val="22"/>
          <w:szCs w:val="24"/>
        </w:rPr>
        <w:t>t</w:t>
      </w:r>
      <w:r w:rsidR="00CE4670">
        <w:rPr>
          <w:sz w:val="22"/>
          <w:szCs w:val="24"/>
        </w:rPr>
        <w:t xml:space="preserve"> embeddings were performed. </w:t>
      </w:r>
      <w:r w:rsidR="00550AF6" w:rsidRPr="00CC3DB5">
        <w:rPr>
          <w:sz w:val="22"/>
          <w:szCs w:val="24"/>
        </w:rPr>
        <w:t>Note that 2 FIB-runs from P15 and 1 F</w:t>
      </w:r>
      <w:r w:rsidR="00240452" w:rsidRPr="00CC3DB5">
        <w:rPr>
          <w:sz w:val="22"/>
          <w:szCs w:val="24"/>
        </w:rPr>
        <w:t>I</w:t>
      </w:r>
      <w:r w:rsidR="00550AF6" w:rsidRPr="00CC3DB5">
        <w:rPr>
          <w:sz w:val="22"/>
          <w:szCs w:val="24"/>
        </w:rPr>
        <w:t>B-run from P34 do</w:t>
      </w:r>
      <w:r w:rsidR="007C4BE3" w:rsidRPr="00CC3DB5">
        <w:rPr>
          <w:sz w:val="22"/>
          <w:szCs w:val="24"/>
        </w:rPr>
        <w:t xml:space="preserve"> not</w:t>
      </w:r>
      <w:r w:rsidR="00550AF6" w:rsidRPr="00CC3DB5">
        <w:rPr>
          <w:sz w:val="22"/>
          <w:szCs w:val="24"/>
        </w:rPr>
        <w:t xml:space="preserve"> show </w:t>
      </w:r>
      <w:r w:rsidR="00DB2C46" w:rsidRPr="00CC3DB5">
        <w:rPr>
          <w:sz w:val="22"/>
          <w:szCs w:val="24"/>
        </w:rPr>
        <w:t>putative fusion sites</w:t>
      </w:r>
      <w:r w:rsidR="00550AF6" w:rsidRPr="00CC3DB5">
        <w:rPr>
          <w:sz w:val="22"/>
          <w:szCs w:val="24"/>
        </w:rPr>
        <w:t>.</w:t>
      </w:r>
      <w:r w:rsidR="007C4BE3" w:rsidRPr="00CC3DB5">
        <w:rPr>
          <w:sz w:val="22"/>
          <w:szCs w:val="24"/>
        </w:rPr>
        <w:t xml:space="preserve"> </w:t>
      </w:r>
    </w:p>
    <w:p w14:paraId="7BB5094E" w14:textId="6B32E1E8" w:rsidR="00D007BD" w:rsidRPr="00CC3DB5" w:rsidRDefault="00D007BD" w:rsidP="00800C1B">
      <w:pPr>
        <w:rPr>
          <w:sz w:val="22"/>
          <w:szCs w:val="22"/>
          <w:shd w:val="clear" w:color="auto" w:fill="FFFFFF"/>
          <w:lang w:val="en-US"/>
        </w:rPr>
      </w:pPr>
    </w:p>
    <w:p w14:paraId="01C24DF6" w14:textId="77777777" w:rsidR="0057493F" w:rsidRPr="00CC3DB5" w:rsidRDefault="0057493F">
      <w:pPr>
        <w:spacing w:line="240" w:lineRule="auto"/>
        <w:rPr>
          <w:sz w:val="22"/>
          <w:szCs w:val="22"/>
          <w:lang w:val="en-US"/>
        </w:rPr>
      </w:pPr>
      <w:r w:rsidRPr="00CC3DB5">
        <w:rPr>
          <w:sz w:val="22"/>
          <w:szCs w:val="22"/>
          <w:lang w:val="en-US"/>
        </w:rPr>
        <w:br w:type="page"/>
      </w:r>
    </w:p>
    <w:p w14:paraId="1A1162C4" w14:textId="19C34827" w:rsidR="00D007BD" w:rsidRPr="0087065C" w:rsidRDefault="0087065C" w:rsidP="00800C1B">
      <w:pPr>
        <w:rPr>
          <w:b/>
          <w:bCs/>
          <w:sz w:val="22"/>
          <w:szCs w:val="22"/>
          <w:lang w:val="en-US"/>
        </w:rPr>
      </w:pPr>
      <w:r w:rsidRPr="0087065C">
        <w:rPr>
          <w:b/>
          <w:bCs/>
          <w:sz w:val="22"/>
          <w:szCs w:val="22"/>
          <w:lang w:val="en-US"/>
        </w:rPr>
        <w:lastRenderedPageBreak/>
        <w:t>Supplementary references</w:t>
      </w:r>
    </w:p>
    <w:p w14:paraId="6FA279EE" w14:textId="77777777" w:rsidR="00E11213" w:rsidRPr="00CC3DB5" w:rsidRDefault="00E11213" w:rsidP="00800C1B">
      <w:pPr>
        <w:rPr>
          <w:sz w:val="22"/>
          <w:szCs w:val="22"/>
          <w:lang w:val="en-US"/>
        </w:rPr>
      </w:pPr>
    </w:p>
    <w:p w14:paraId="149DE3A6" w14:textId="77777777" w:rsidR="00ED72E6" w:rsidRPr="00CC3DB5" w:rsidRDefault="00D007BD" w:rsidP="00ED72E6">
      <w:pPr>
        <w:pStyle w:val="Bibliographie"/>
      </w:pPr>
      <w:r w:rsidRPr="00CC3DB5">
        <w:rPr>
          <w:lang w:val="en-US"/>
        </w:rPr>
        <w:fldChar w:fldCharType="begin"/>
      </w:r>
      <w:r w:rsidR="00ED72E6" w:rsidRPr="00CC3DB5">
        <w:rPr>
          <w:lang w:val="en-US"/>
        </w:rPr>
        <w:instrText xml:space="preserve"> ADDIN ZOTERO_BIBL {"uncited":[],"omitted":[],"custom":[]} CSL_BIBLIOGRAPHY </w:instrText>
      </w:r>
      <w:r w:rsidRPr="00CC3DB5">
        <w:rPr>
          <w:lang w:val="en-US"/>
        </w:rPr>
        <w:fldChar w:fldCharType="separate"/>
      </w:r>
      <w:r w:rsidR="00ED72E6" w:rsidRPr="00CC3DB5">
        <w:t xml:space="preserve">1. </w:t>
      </w:r>
      <w:r w:rsidR="00ED72E6" w:rsidRPr="00CC3DB5">
        <w:tab/>
        <w:t xml:space="preserve">R. Giordano-Santini, C. Linton, M. A. Hilliard, Cell-cell fusion in the nervous system: Alternative mechanisms of development, injury, and repair. </w:t>
      </w:r>
      <w:r w:rsidR="00ED72E6" w:rsidRPr="00CC3DB5">
        <w:rPr>
          <w:i/>
          <w:iCs/>
        </w:rPr>
        <w:t>Semin. Cell Dev. Biol.</w:t>
      </w:r>
      <w:r w:rsidR="00ED72E6" w:rsidRPr="00CC3DB5">
        <w:t xml:space="preserve"> </w:t>
      </w:r>
      <w:r w:rsidR="00ED72E6" w:rsidRPr="00CC3DB5">
        <w:rPr>
          <w:b/>
          <w:bCs/>
        </w:rPr>
        <w:t>60</w:t>
      </w:r>
      <w:r w:rsidR="00ED72E6" w:rsidRPr="00CC3DB5">
        <w:t>, 146–154 (2016).</w:t>
      </w:r>
    </w:p>
    <w:p w14:paraId="08331C05" w14:textId="77777777" w:rsidR="00ED72E6" w:rsidRPr="00CC3DB5" w:rsidRDefault="00ED72E6" w:rsidP="00ED72E6">
      <w:pPr>
        <w:pStyle w:val="Bibliographie"/>
      </w:pPr>
      <w:r w:rsidRPr="00CC3DB5">
        <w:t xml:space="preserve">2. </w:t>
      </w:r>
      <w:r w:rsidRPr="00CC3DB5">
        <w:tab/>
        <w:t xml:space="preserve">L. Grant, E. Yi, J. D. Goutman, E. Glowatzki, Postsynaptic Recordings at Afferent Dendrites Contacting Cochlear Inner Hair Cells: Monitoring Multivesicular Release at a Ribbon Synapse. </w:t>
      </w:r>
      <w:r w:rsidRPr="00CC3DB5">
        <w:rPr>
          <w:i/>
          <w:iCs/>
        </w:rPr>
        <w:t>J. Vis. Exp.</w:t>
      </w:r>
      <w:r w:rsidRPr="00CC3DB5">
        <w:t xml:space="preserve"> (2011), doi:10.3791/2442.</w:t>
      </w:r>
    </w:p>
    <w:p w14:paraId="2BC68E96" w14:textId="77777777" w:rsidR="00ED72E6" w:rsidRPr="00CC3DB5" w:rsidRDefault="00ED72E6" w:rsidP="00ED72E6">
      <w:pPr>
        <w:pStyle w:val="Bibliographie"/>
      </w:pPr>
      <w:r w:rsidRPr="00CC3DB5">
        <w:t xml:space="preserve">3. </w:t>
      </w:r>
      <w:r w:rsidRPr="00CC3DB5">
        <w:tab/>
        <w:t xml:space="preserve">D. Zenisek, N. K. Horst, C. Merrifield, P. Sterling, G. Matthews, Visualizing synaptic ribbons in the living cell. </w:t>
      </w:r>
      <w:r w:rsidRPr="00CC3DB5">
        <w:rPr>
          <w:i/>
          <w:iCs/>
        </w:rPr>
        <w:t>J. Neurosci. Off. J. Soc. Neurosci.</w:t>
      </w:r>
      <w:r w:rsidRPr="00CC3DB5">
        <w:t xml:space="preserve"> </w:t>
      </w:r>
      <w:r w:rsidRPr="00CC3DB5">
        <w:rPr>
          <w:b/>
          <w:bCs/>
        </w:rPr>
        <w:t>24</w:t>
      </w:r>
      <w:r w:rsidRPr="00CC3DB5">
        <w:t>, 9752–9759 (2004).</w:t>
      </w:r>
    </w:p>
    <w:p w14:paraId="7B58CEC1" w14:textId="77777777" w:rsidR="00ED72E6" w:rsidRPr="00CC3DB5" w:rsidRDefault="00ED72E6" w:rsidP="00ED72E6">
      <w:pPr>
        <w:pStyle w:val="Bibliographie"/>
      </w:pPr>
      <w:r w:rsidRPr="00CC3DB5">
        <w:t xml:space="preserve">4. </w:t>
      </w:r>
      <w:r w:rsidRPr="00CC3DB5">
        <w:tab/>
        <w:t xml:space="preserve">S. Jung, T. Oshima-Takago, R. Chakrabarti, A. B. Wong, Z. Jing, G. Yamanbaeva, M. M. Picher, S. M. Wojcik, F. Göttfert, F. Predoehl, K. Michel, S. W. Hell, S. Schoch, N. Strenzke, C. Wichmann, T. Moser, Rab3-interacting molecules 2α and 2β promote the abundance of voltage-gated CaV1.3 Ca2+ channels at hair cell active zones. </w:t>
      </w:r>
      <w:r w:rsidRPr="00CC3DB5">
        <w:rPr>
          <w:i/>
          <w:iCs/>
        </w:rPr>
        <w:t>Proc. Natl. Acad. Sci.</w:t>
      </w:r>
      <w:r w:rsidRPr="00CC3DB5">
        <w:t xml:space="preserve"> </w:t>
      </w:r>
      <w:r w:rsidRPr="00CC3DB5">
        <w:rPr>
          <w:b/>
          <w:bCs/>
        </w:rPr>
        <w:t>112</w:t>
      </w:r>
      <w:r w:rsidRPr="00CC3DB5">
        <w:t>, E3141–E3149 (2015).</w:t>
      </w:r>
    </w:p>
    <w:p w14:paraId="1900C025" w14:textId="77777777" w:rsidR="00ED72E6" w:rsidRPr="00CC3DB5" w:rsidRDefault="00ED72E6" w:rsidP="00ED72E6">
      <w:pPr>
        <w:pStyle w:val="Bibliographie"/>
      </w:pPr>
      <w:r w:rsidRPr="00CC3DB5">
        <w:t xml:space="preserve">5. </w:t>
      </w:r>
      <w:r w:rsidRPr="00CC3DB5">
        <w:tab/>
        <w:t>N. Strenzke, R. Chakrabarti, H. Al</w:t>
      </w:r>
      <w:r w:rsidRPr="00CC3DB5">
        <w:rPr>
          <w:rFonts w:ascii="Calibri" w:eastAsia="Calibri" w:hAnsi="Calibri" w:cs="Calibri"/>
        </w:rPr>
        <w:t>‐</w:t>
      </w:r>
      <w:r w:rsidRPr="00CC3DB5">
        <w:t>Moyed, A. Müller, G. Hoch, T. Pangrsic, G. Yamanbaeva, C. Lenz, K.-T. Pan, E. Auge, R. Geiss</w:t>
      </w:r>
      <w:r w:rsidRPr="00CC3DB5">
        <w:rPr>
          <w:rFonts w:ascii="Calibri" w:eastAsia="Calibri" w:hAnsi="Calibri" w:cs="Calibri"/>
        </w:rPr>
        <w:t>‐</w:t>
      </w:r>
      <w:r w:rsidRPr="00CC3DB5">
        <w:t xml:space="preserve">Friedlander, H. Urlaub, N. Brose, C. Wichmann, E. Reisinger, Hair cell synaptic dysfunction, auditory fatigue and thermal sensitivity in otoferlin Ile515Thr mutants. </w:t>
      </w:r>
      <w:r w:rsidRPr="00CC3DB5">
        <w:rPr>
          <w:i/>
          <w:iCs/>
        </w:rPr>
        <w:t>EMBO J.</w:t>
      </w:r>
      <w:r w:rsidRPr="00CC3DB5">
        <w:t xml:space="preserve"> </w:t>
      </w:r>
      <w:r w:rsidRPr="00CC3DB5">
        <w:rPr>
          <w:b/>
          <w:bCs/>
        </w:rPr>
        <w:t>35</w:t>
      </w:r>
      <w:r w:rsidRPr="00CC3DB5">
        <w:t>, e201694564 (2016).</w:t>
      </w:r>
    </w:p>
    <w:p w14:paraId="4CD812FF" w14:textId="77777777" w:rsidR="00ED72E6" w:rsidRPr="00CC3DB5" w:rsidRDefault="00ED72E6" w:rsidP="00ED72E6">
      <w:pPr>
        <w:pStyle w:val="Bibliographie"/>
      </w:pPr>
      <w:r w:rsidRPr="00CC3DB5">
        <w:t xml:space="preserve">6. </w:t>
      </w:r>
      <w:r w:rsidRPr="00CC3DB5">
        <w:tab/>
        <w:t xml:space="preserve">D. N. Mastronarde, Automated electron microscope tomography using robust prediction of specimen movements. </w:t>
      </w:r>
      <w:r w:rsidRPr="00CC3DB5">
        <w:rPr>
          <w:i/>
          <w:iCs/>
        </w:rPr>
        <w:t>J. Struct. Biol.</w:t>
      </w:r>
      <w:r w:rsidRPr="00CC3DB5">
        <w:t xml:space="preserve"> </w:t>
      </w:r>
      <w:r w:rsidRPr="00CC3DB5">
        <w:rPr>
          <w:b/>
          <w:bCs/>
        </w:rPr>
        <w:t>152</w:t>
      </w:r>
      <w:r w:rsidRPr="00CC3DB5">
        <w:t>, 36–51 (2005).</w:t>
      </w:r>
    </w:p>
    <w:p w14:paraId="185DAC63" w14:textId="77777777" w:rsidR="00ED72E6" w:rsidRPr="00CC3DB5" w:rsidRDefault="00ED72E6" w:rsidP="00ED72E6">
      <w:pPr>
        <w:pStyle w:val="Bibliographie"/>
      </w:pPr>
      <w:r w:rsidRPr="00CC3DB5">
        <w:t xml:space="preserve">7. </w:t>
      </w:r>
      <w:r w:rsidRPr="00CC3DB5">
        <w:tab/>
        <w:t xml:space="preserve">J. R. Kremer, D. N. Mastronarde, J. R. McIntosh, Computer visualization of three-dimensional image data using IMOD. </w:t>
      </w:r>
      <w:r w:rsidRPr="00CC3DB5">
        <w:rPr>
          <w:i/>
          <w:iCs/>
        </w:rPr>
        <w:t>J. Struct. Biol.</w:t>
      </w:r>
      <w:r w:rsidRPr="00CC3DB5">
        <w:t xml:space="preserve"> </w:t>
      </w:r>
      <w:r w:rsidRPr="00CC3DB5">
        <w:rPr>
          <w:b/>
          <w:bCs/>
        </w:rPr>
        <w:t>116</w:t>
      </w:r>
      <w:r w:rsidRPr="00CC3DB5">
        <w:t>, 71–76 (1996).</w:t>
      </w:r>
    </w:p>
    <w:p w14:paraId="5CAB0D15" w14:textId="77777777" w:rsidR="00ED72E6" w:rsidRPr="00CC3DB5" w:rsidRDefault="00ED72E6" w:rsidP="00ED72E6">
      <w:pPr>
        <w:pStyle w:val="Bibliographie"/>
      </w:pPr>
      <w:r w:rsidRPr="00CC3DB5">
        <w:t xml:space="preserve">8. </w:t>
      </w:r>
      <w:r w:rsidRPr="00CC3DB5">
        <w:tab/>
        <w:t xml:space="preserve">T. J. Deerinck, T. M. Shone, E. A. Bushong, R. Ramachandra, S. T. Peltier, M. H. Ellisman, High-performance serial block-face SEM of nonconductive biological samples enabled by focal gas injection-based charge compensation. </w:t>
      </w:r>
      <w:r w:rsidRPr="00CC3DB5">
        <w:rPr>
          <w:i/>
          <w:iCs/>
        </w:rPr>
        <w:t>J. Microsc.</w:t>
      </w:r>
      <w:r w:rsidRPr="00CC3DB5">
        <w:t xml:space="preserve"> </w:t>
      </w:r>
      <w:r w:rsidRPr="00CC3DB5">
        <w:rPr>
          <w:b/>
          <w:bCs/>
        </w:rPr>
        <w:t>270</w:t>
      </w:r>
      <w:r w:rsidRPr="00CC3DB5">
        <w:t>, 142–149 (2018).</w:t>
      </w:r>
    </w:p>
    <w:p w14:paraId="2921C488" w14:textId="77777777" w:rsidR="00ED72E6" w:rsidRPr="00CC3DB5" w:rsidRDefault="00ED72E6" w:rsidP="00ED72E6">
      <w:pPr>
        <w:pStyle w:val="Bibliographie"/>
      </w:pPr>
      <w:r w:rsidRPr="00CC3DB5">
        <w:lastRenderedPageBreak/>
        <w:t xml:space="preserve">9. </w:t>
      </w:r>
      <w:r w:rsidRPr="00CC3DB5">
        <w:tab/>
        <w:t xml:space="preserve">S. Michanski, K. Smaluch, A. Steyer, R. Chakrabarti, D. Oestreicher, C. Fischer, W. Möbius, Moser, Tobias, C. Vogl, C. Wichmann, Mapping developmental maturation of mouse inner hair cell ribbon synapses. </w:t>
      </w:r>
      <w:r w:rsidRPr="00CC3DB5">
        <w:rPr>
          <w:i/>
          <w:iCs/>
        </w:rPr>
        <w:t>PNAS</w:t>
      </w:r>
      <w:r w:rsidRPr="00CC3DB5">
        <w:t xml:space="preserve"> (2019).</w:t>
      </w:r>
    </w:p>
    <w:p w14:paraId="0F7D7073" w14:textId="77777777" w:rsidR="00ED72E6" w:rsidRPr="00CC3DB5" w:rsidRDefault="00ED72E6" w:rsidP="00ED72E6">
      <w:pPr>
        <w:pStyle w:val="Bibliographie"/>
      </w:pPr>
      <w:r w:rsidRPr="00CC3DB5">
        <w:t xml:space="preserve">10. </w:t>
      </w:r>
      <w:r w:rsidRPr="00CC3DB5">
        <w:tab/>
        <w:t xml:space="preserve">J. Schindelin, I. Arganda-Carreras, E. Frise, V. Kaynig, M. Longair, T. Pietzsch, S. Preibisch, C. Rueden, S. Saalfeld, B. Schmid, J.-Y. Tinevez, D. J. White, V. Hartenstein, K. Eliceiri, P. Tomancak, A. Cardona, Fiji: an open-source platform for biological-image analysis. </w:t>
      </w:r>
      <w:r w:rsidRPr="00CC3DB5">
        <w:rPr>
          <w:i/>
          <w:iCs/>
        </w:rPr>
        <w:t>Nat. Methods</w:t>
      </w:r>
      <w:r w:rsidRPr="00CC3DB5">
        <w:t xml:space="preserve">. </w:t>
      </w:r>
      <w:r w:rsidRPr="00CC3DB5">
        <w:rPr>
          <w:b/>
          <w:bCs/>
        </w:rPr>
        <w:t>9</w:t>
      </w:r>
      <w:r w:rsidRPr="00CC3DB5">
        <w:t>, 676–682 (2012).</w:t>
      </w:r>
    </w:p>
    <w:p w14:paraId="5A4F937D" w14:textId="77777777" w:rsidR="00ED72E6" w:rsidRPr="00CC3DB5" w:rsidRDefault="00ED72E6" w:rsidP="00ED72E6">
      <w:pPr>
        <w:pStyle w:val="Bibliographie"/>
      </w:pPr>
      <w:r w:rsidRPr="00CC3DB5">
        <w:t xml:space="preserve">11. </w:t>
      </w:r>
      <w:r w:rsidRPr="00CC3DB5">
        <w:tab/>
        <w:t xml:space="preserve">I. Belevich, M. Joensuu, D. Kumar, H. Vihinen, E. Jokitalo, Microscopy Image Browser: A Platform for Segmentation and Analysis of Multidimensional Datasets. </w:t>
      </w:r>
      <w:r w:rsidRPr="00CC3DB5">
        <w:rPr>
          <w:i/>
          <w:iCs/>
        </w:rPr>
        <w:t>PLOS Biol.</w:t>
      </w:r>
      <w:r w:rsidRPr="00CC3DB5">
        <w:t xml:space="preserve"> </w:t>
      </w:r>
      <w:r w:rsidRPr="00CC3DB5">
        <w:rPr>
          <w:b/>
          <w:bCs/>
        </w:rPr>
        <w:t>14</w:t>
      </w:r>
      <w:r w:rsidRPr="00CC3DB5">
        <w:t>, e1002340 (2016).</w:t>
      </w:r>
    </w:p>
    <w:p w14:paraId="39DA0697" w14:textId="77777777" w:rsidR="00ED72E6" w:rsidRPr="00CC3DB5" w:rsidRDefault="00ED72E6" w:rsidP="00ED72E6">
      <w:pPr>
        <w:pStyle w:val="Bibliographie"/>
      </w:pPr>
      <w:r w:rsidRPr="00CC3DB5">
        <w:t xml:space="preserve">12. </w:t>
      </w:r>
      <w:r w:rsidRPr="00CC3DB5">
        <w:tab/>
        <w:t xml:space="preserve">T. Anttonen, I. Belevich, A. Kirjavainen, M. Laos, C. Brakebusch, E. Jokitalo, U. Pirvola, How to bury the dead: elimination of apoptotic hair cells from the hearing organ of the mouse. </w:t>
      </w:r>
      <w:r w:rsidRPr="00CC3DB5">
        <w:rPr>
          <w:i/>
          <w:iCs/>
        </w:rPr>
        <w:t>J. Assoc. Res. Otolaryngol. JARO</w:t>
      </w:r>
      <w:r w:rsidRPr="00CC3DB5">
        <w:t xml:space="preserve">. </w:t>
      </w:r>
      <w:r w:rsidRPr="00CC3DB5">
        <w:rPr>
          <w:b/>
          <w:bCs/>
        </w:rPr>
        <w:t>15</w:t>
      </w:r>
      <w:r w:rsidRPr="00CC3DB5">
        <w:t>, 975–992 (2014).</w:t>
      </w:r>
    </w:p>
    <w:p w14:paraId="7C3BA312" w14:textId="77777777" w:rsidR="00ED72E6" w:rsidRPr="00CC3DB5" w:rsidRDefault="00ED72E6" w:rsidP="00ED72E6">
      <w:pPr>
        <w:pStyle w:val="Bibliographie"/>
      </w:pPr>
      <w:r w:rsidRPr="00CC3DB5">
        <w:t xml:space="preserve">13. </w:t>
      </w:r>
      <w:r w:rsidRPr="00CC3DB5">
        <w:tab/>
        <w:t xml:space="preserve">R. Fettiplace, K. X. Kim, The physiology of mechanoelectrical transduction channels in hearing. </w:t>
      </w:r>
      <w:r w:rsidRPr="00CC3DB5">
        <w:rPr>
          <w:i/>
          <w:iCs/>
        </w:rPr>
        <w:t>Physiol. Rev.</w:t>
      </w:r>
      <w:r w:rsidRPr="00CC3DB5">
        <w:t xml:space="preserve"> </w:t>
      </w:r>
      <w:r w:rsidRPr="00CC3DB5">
        <w:rPr>
          <w:b/>
          <w:bCs/>
        </w:rPr>
        <w:t>94</w:t>
      </w:r>
      <w:r w:rsidRPr="00CC3DB5">
        <w:t>, 951–986 (2014).</w:t>
      </w:r>
    </w:p>
    <w:p w14:paraId="16EBF00A" w14:textId="77777777" w:rsidR="00ED72E6" w:rsidRPr="00CC3DB5" w:rsidRDefault="00ED72E6" w:rsidP="00ED72E6">
      <w:pPr>
        <w:pStyle w:val="Bibliographie"/>
      </w:pPr>
      <w:r w:rsidRPr="00CC3DB5">
        <w:t xml:space="preserve">14. </w:t>
      </w:r>
      <w:r w:rsidRPr="00CC3DB5">
        <w:tab/>
        <w:t xml:space="preserve">T. Pangrsic, L. Lasarow, K. Reuter, H. Takago, M. Schwander, D. Riedel, T. Frank, L. M. Tarantino, J. S. Bailey, N. Strenzke, N. Brose, U. Müller, E. Reisinger, T. Moser, Hearing requires otoferlin-dependent efficient replenishment of synaptic vesicles in hair cells. </w:t>
      </w:r>
      <w:r w:rsidRPr="00CC3DB5">
        <w:rPr>
          <w:i/>
          <w:iCs/>
        </w:rPr>
        <w:t>Nat. Neurosci.</w:t>
      </w:r>
      <w:r w:rsidRPr="00CC3DB5">
        <w:t xml:space="preserve"> </w:t>
      </w:r>
      <w:r w:rsidRPr="00CC3DB5">
        <w:rPr>
          <w:b/>
          <w:bCs/>
        </w:rPr>
        <w:t>13</w:t>
      </w:r>
      <w:r w:rsidRPr="00CC3DB5">
        <w:t>, 869–876 (2010).</w:t>
      </w:r>
    </w:p>
    <w:p w14:paraId="746464E7" w14:textId="77777777" w:rsidR="00ED72E6" w:rsidRPr="00CC3DB5" w:rsidRDefault="00ED72E6" w:rsidP="00ED72E6">
      <w:pPr>
        <w:pStyle w:val="Bibliographie"/>
      </w:pPr>
      <w:r w:rsidRPr="00CC3DB5">
        <w:t xml:space="preserve">15. </w:t>
      </w:r>
      <w:r w:rsidRPr="00CC3DB5">
        <w:tab/>
        <w:t xml:space="preserve">N. T. Carnevale, M. L. Hines, </w:t>
      </w:r>
      <w:r w:rsidRPr="00CC3DB5">
        <w:rPr>
          <w:i/>
          <w:iCs/>
        </w:rPr>
        <w:t>The NEURON Book</w:t>
      </w:r>
      <w:r w:rsidRPr="00CC3DB5">
        <w:t xml:space="preserve"> (Cambridge University Press, Cambridge, 2006; http://ebooks.cambridge.org/ref/id/CBO9780511541612).</w:t>
      </w:r>
    </w:p>
    <w:p w14:paraId="4A7FF7BD" w14:textId="77777777" w:rsidR="00ED72E6" w:rsidRPr="00CC3DB5" w:rsidRDefault="00ED72E6" w:rsidP="00ED72E6">
      <w:pPr>
        <w:pStyle w:val="Bibliographie"/>
      </w:pPr>
      <w:r w:rsidRPr="00CC3DB5">
        <w:t xml:space="preserve">16. </w:t>
      </w:r>
      <w:r w:rsidRPr="00CC3DB5">
        <w:tab/>
        <w:t xml:space="preserve">I. J. Russell, P. M. Sellick, Low-frequency characteristics of intracellularly recorded receptor potentials in guinea-pig cochlear hair cells. </w:t>
      </w:r>
      <w:r w:rsidRPr="00CC3DB5">
        <w:rPr>
          <w:i/>
          <w:iCs/>
        </w:rPr>
        <w:t>J. Physiol.</w:t>
      </w:r>
      <w:r w:rsidRPr="00CC3DB5">
        <w:t xml:space="preserve"> </w:t>
      </w:r>
      <w:r w:rsidRPr="00CC3DB5">
        <w:rPr>
          <w:b/>
          <w:bCs/>
        </w:rPr>
        <w:t>338</w:t>
      </w:r>
      <w:r w:rsidRPr="00CC3DB5">
        <w:t>, 179–206 (1983).</w:t>
      </w:r>
    </w:p>
    <w:p w14:paraId="2A4FF763" w14:textId="77777777" w:rsidR="00ED72E6" w:rsidRPr="00CC3DB5" w:rsidRDefault="00ED72E6" w:rsidP="00ED72E6">
      <w:pPr>
        <w:pStyle w:val="Bibliographie"/>
      </w:pPr>
      <w:r w:rsidRPr="00CC3DB5">
        <w:t xml:space="preserve">17. </w:t>
      </w:r>
      <w:r w:rsidRPr="00CC3DB5">
        <w:tab/>
        <w:t xml:space="preserve">D. T. Gillespie, A general method for numerically simulating the stochastic time evolution of coupled chemical reactions. </w:t>
      </w:r>
      <w:r w:rsidRPr="00CC3DB5">
        <w:rPr>
          <w:i/>
          <w:iCs/>
        </w:rPr>
        <w:t>J. Comput. Phys.</w:t>
      </w:r>
      <w:r w:rsidRPr="00CC3DB5">
        <w:t xml:space="preserve"> </w:t>
      </w:r>
      <w:r w:rsidRPr="00CC3DB5">
        <w:rPr>
          <w:b/>
          <w:bCs/>
        </w:rPr>
        <w:t>22</w:t>
      </w:r>
      <w:r w:rsidRPr="00CC3DB5">
        <w:t>, 403–434 (1976).</w:t>
      </w:r>
    </w:p>
    <w:p w14:paraId="58D24FC1" w14:textId="77777777" w:rsidR="00ED72E6" w:rsidRPr="00CC3DB5" w:rsidRDefault="00ED72E6" w:rsidP="00ED72E6">
      <w:pPr>
        <w:pStyle w:val="Bibliographie"/>
      </w:pPr>
      <w:r w:rsidRPr="00CC3DB5">
        <w:lastRenderedPageBreak/>
        <w:t xml:space="preserve">18. </w:t>
      </w:r>
      <w:r w:rsidRPr="00CC3DB5">
        <w:tab/>
        <w:t xml:space="preserve">M. Beurg, M. G. Evans, C. M. Hackney, R. Fettiplace, A Large-Conductance Calcium-Selective Mechanotransducer Channel in Mammalian Cochlear Hair Cells. </w:t>
      </w:r>
      <w:r w:rsidRPr="00CC3DB5">
        <w:rPr>
          <w:i/>
          <w:iCs/>
        </w:rPr>
        <w:t>J. Neurosci.</w:t>
      </w:r>
      <w:r w:rsidRPr="00CC3DB5">
        <w:t xml:space="preserve"> </w:t>
      </w:r>
      <w:r w:rsidRPr="00CC3DB5">
        <w:rPr>
          <w:b/>
          <w:bCs/>
        </w:rPr>
        <w:t>26</w:t>
      </w:r>
      <w:r w:rsidRPr="00CC3DB5">
        <w:t>, 10992–11000 (2006).</w:t>
      </w:r>
    </w:p>
    <w:p w14:paraId="174A8132" w14:textId="77777777" w:rsidR="00ED72E6" w:rsidRPr="00CC3DB5" w:rsidRDefault="00ED72E6" w:rsidP="00ED72E6">
      <w:pPr>
        <w:pStyle w:val="Bibliographie"/>
      </w:pPr>
      <w:r w:rsidRPr="00CC3DB5">
        <w:t xml:space="preserve">19. </w:t>
      </w:r>
      <w:r w:rsidRPr="00CC3DB5">
        <w:tab/>
        <w:t xml:space="preserve">A. B. Wong, M. A. Rutherford, M. Gabrielaitis, T. Pangršič, F. Göttfert, T. Frank, S. Michanski, S. Hell, F. Wolf, C. Wichmann, T. Moser, Developmental refinement of hair cell synapses tightens the coupling of Ca2+ influx to exocytosis. </w:t>
      </w:r>
      <w:r w:rsidRPr="00CC3DB5">
        <w:rPr>
          <w:i/>
          <w:iCs/>
        </w:rPr>
        <w:t>EMBO J.</w:t>
      </w:r>
      <w:r w:rsidRPr="00CC3DB5">
        <w:t xml:space="preserve"> </w:t>
      </w:r>
      <w:r w:rsidRPr="00CC3DB5">
        <w:rPr>
          <w:b/>
          <w:bCs/>
        </w:rPr>
        <w:t>33</w:t>
      </w:r>
      <w:r w:rsidRPr="00CC3DB5">
        <w:t>, 247–264 (2014).</w:t>
      </w:r>
    </w:p>
    <w:p w14:paraId="204B2C17" w14:textId="77777777" w:rsidR="00ED72E6" w:rsidRPr="00CC3DB5" w:rsidRDefault="00ED72E6" w:rsidP="00ED72E6">
      <w:pPr>
        <w:pStyle w:val="Bibliographie"/>
      </w:pPr>
      <w:r w:rsidRPr="00CC3DB5">
        <w:t xml:space="preserve">20. </w:t>
      </w:r>
      <w:r w:rsidRPr="00CC3DB5">
        <w:tab/>
        <w:t xml:space="preserve">J. Neef, A. Gehrt, A. V. Bulankina, A. C. Meyer, D. Riedel, R. G. Gregg, N. Strenzke, T. Moser, The Ca2+ Channel Subunit beta2 Regulates Ca2+ Channel Abundance and Function in Inner Hair Cells and Is Required for Hearing. </w:t>
      </w:r>
      <w:r w:rsidRPr="00CC3DB5">
        <w:rPr>
          <w:i/>
          <w:iCs/>
        </w:rPr>
        <w:t>J. Neurosci.</w:t>
      </w:r>
      <w:r w:rsidRPr="00CC3DB5">
        <w:t xml:space="preserve"> </w:t>
      </w:r>
      <w:r w:rsidRPr="00CC3DB5">
        <w:rPr>
          <w:b/>
          <w:bCs/>
        </w:rPr>
        <w:t>29</w:t>
      </w:r>
      <w:r w:rsidRPr="00CC3DB5">
        <w:t>, 10730 (2009).</w:t>
      </w:r>
    </w:p>
    <w:p w14:paraId="7EE7286C" w14:textId="77777777" w:rsidR="00ED72E6" w:rsidRPr="00CC3DB5" w:rsidRDefault="00ED72E6" w:rsidP="00ED72E6">
      <w:pPr>
        <w:pStyle w:val="Bibliographie"/>
      </w:pPr>
      <w:r w:rsidRPr="00CC3DB5">
        <w:t xml:space="preserve">21. </w:t>
      </w:r>
      <w:r w:rsidRPr="00CC3DB5">
        <w:tab/>
        <w:t>M. Gabrielaitis, Mathematical modeling of the structure and function of inner hair cell ribbon synapses (2017) (available at https://ediss.uni-goettingen.de/handle/11858/00-1735-0000-002B-7D2F-6).</w:t>
      </w:r>
    </w:p>
    <w:p w14:paraId="0506AEAD" w14:textId="77777777" w:rsidR="00ED72E6" w:rsidRPr="00CC3DB5" w:rsidRDefault="00ED72E6" w:rsidP="00ED72E6">
      <w:pPr>
        <w:pStyle w:val="Bibliographie"/>
      </w:pPr>
      <w:r w:rsidRPr="00CC3DB5">
        <w:t xml:space="preserve">22. </w:t>
      </w:r>
      <w:r w:rsidRPr="00CC3DB5">
        <w:tab/>
        <w:t xml:space="preserve">A. Brandt, D. Khimich, T. Moser, Few CaV1. 3 channels regulate the exocytosis of a synaptic vesicle at the hair cell ribbon synapse. </w:t>
      </w:r>
      <w:r w:rsidRPr="00CC3DB5">
        <w:rPr>
          <w:i/>
          <w:iCs/>
        </w:rPr>
        <w:t>J. Neurosci.</w:t>
      </w:r>
      <w:r w:rsidRPr="00CC3DB5">
        <w:t xml:space="preserve"> </w:t>
      </w:r>
      <w:r w:rsidRPr="00CC3DB5">
        <w:rPr>
          <w:b/>
          <w:bCs/>
        </w:rPr>
        <w:t>25</w:t>
      </w:r>
      <w:r w:rsidRPr="00CC3DB5">
        <w:t>, 11577 (2005).</w:t>
      </w:r>
    </w:p>
    <w:p w14:paraId="6C67C4A3" w14:textId="77777777" w:rsidR="00ED72E6" w:rsidRPr="00CC3DB5" w:rsidRDefault="00ED72E6" w:rsidP="00ED72E6">
      <w:pPr>
        <w:pStyle w:val="Bibliographie"/>
      </w:pPr>
      <w:r w:rsidRPr="00CC3DB5">
        <w:t xml:space="preserve">23. </w:t>
      </w:r>
      <w:r w:rsidRPr="00CC3DB5">
        <w:tab/>
        <w:t xml:space="preserve">T. Pangršič, M. Gabrielaitis, S. Michanski, B. Schwaller, F. Wolf, N. Strenzke, T. Moser, EF-hand protein Ca2+ buffers regulate Ca2+ influx and exocytosis in sensory hair cells. </w:t>
      </w:r>
      <w:r w:rsidRPr="00CC3DB5">
        <w:rPr>
          <w:i/>
          <w:iCs/>
        </w:rPr>
        <w:t>Proc. Natl. Acad. Sci.</w:t>
      </w:r>
      <w:r w:rsidRPr="00CC3DB5">
        <w:t xml:space="preserve"> </w:t>
      </w:r>
      <w:r w:rsidRPr="00CC3DB5">
        <w:rPr>
          <w:b/>
          <w:bCs/>
        </w:rPr>
        <w:t>112</w:t>
      </w:r>
      <w:r w:rsidRPr="00CC3DB5">
        <w:t>, E1028–E1037 (2015).</w:t>
      </w:r>
    </w:p>
    <w:p w14:paraId="63EF9E58" w14:textId="77777777" w:rsidR="00ED72E6" w:rsidRPr="00CC3DB5" w:rsidRDefault="00ED72E6" w:rsidP="00ED72E6">
      <w:pPr>
        <w:pStyle w:val="Bibliographie"/>
      </w:pPr>
      <w:r w:rsidRPr="00CC3DB5">
        <w:t xml:space="preserve">24. </w:t>
      </w:r>
      <w:r w:rsidRPr="00CC3DB5">
        <w:tab/>
        <w:t>T. Frank, M. A. Rutherford, N. Strenzke, A. Neef, T. Pangršič, D. Khimich, A. Fejtova, E. D. Gundelfinger, M. C. Liberman, B. Harke, K. E. Bryan, A. Lee, A. Egner, D. Riedel, T. Moser, Bassoon and the synaptic ribbon organize Ca</w:t>
      </w:r>
      <w:r w:rsidRPr="00CC3DB5">
        <w:rPr>
          <w:vertAlign w:val="superscript"/>
        </w:rPr>
        <w:t>2</w:t>
      </w:r>
      <w:r w:rsidRPr="00CC3DB5">
        <w:t xml:space="preserve">+ channels and vesicles to add release sites and promote refilling. </w:t>
      </w:r>
      <w:r w:rsidRPr="00CC3DB5">
        <w:rPr>
          <w:i/>
          <w:iCs/>
        </w:rPr>
        <w:t>Neuron</w:t>
      </w:r>
      <w:r w:rsidRPr="00CC3DB5">
        <w:t xml:space="preserve">. </w:t>
      </w:r>
      <w:r w:rsidRPr="00CC3DB5">
        <w:rPr>
          <w:b/>
          <w:bCs/>
        </w:rPr>
        <w:t>68</w:t>
      </w:r>
      <w:r w:rsidRPr="00CC3DB5">
        <w:t>, 724–738 (2010).</w:t>
      </w:r>
    </w:p>
    <w:p w14:paraId="7A9A7CFE" w14:textId="77777777" w:rsidR="00ED72E6" w:rsidRPr="00CC3DB5" w:rsidRDefault="00ED72E6" w:rsidP="00ED72E6">
      <w:pPr>
        <w:pStyle w:val="Bibliographie"/>
      </w:pPr>
      <w:r w:rsidRPr="00CC3DB5">
        <w:t xml:space="preserve">25. </w:t>
      </w:r>
      <w:r w:rsidRPr="00CC3DB5">
        <w:tab/>
        <w:t xml:space="preserve">S. Jung, T. Maritzen, C. Wichmann, Z. Jing, A. Neef, N. H. Revelo, H. Al-Moyed, S. Meese, S. M. Wojcik, I. Panou, H. Bulut, P. Schu, R. Ficner, E. Reisinger, S. O. Rizzoli, J. Neef, N. Strenzke, V. Haucke, T. Moser, Disruption of adaptor protein 2μ (AP-2μ) in cochlear hair cells impairs vesicle reloading of synaptic release sites and hearing. </w:t>
      </w:r>
      <w:r w:rsidRPr="00CC3DB5">
        <w:rPr>
          <w:i/>
          <w:iCs/>
        </w:rPr>
        <w:t>EMBO J.</w:t>
      </w:r>
      <w:r w:rsidRPr="00CC3DB5">
        <w:t xml:space="preserve"> </w:t>
      </w:r>
      <w:r w:rsidRPr="00CC3DB5">
        <w:rPr>
          <w:b/>
          <w:bCs/>
        </w:rPr>
        <w:t>34</w:t>
      </w:r>
      <w:r w:rsidRPr="00CC3DB5">
        <w:t>, 2686–2702 (2015).</w:t>
      </w:r>
    </w:p>
    <w:p w14:paraId="13BA131D" w14:textId="77777777" w:rsidR="00ED72E6" w:rsidRPr="00CC3DB5" w:rsidRDefault="00ED72E6" w:rsidP="00ED72E6">
      <w:pPr>
        <w:pStyle w:val="Bibliographie"/>
      </w:pPr>
      <w:r w:rsidRPr="00CC3DB5">
        <w:lastRenderedPageBreak/>
        <w:t xml:space="preserve">26. </w:t>
      </w:r>
      <w:r w:rsidRPr="00CC3DB5">
        <w:tab/>
        <w:t xml:space="preserve">B. N. Buran, N. Strenzke, A. Neef, E. D. Gundelfinger, T. Moser, M. C. Liberman, Onset coding is degraded in auditory nerve fibers from mutant mice lacking synaptic ribbons. </w:t>
      </w:r>
      <w:r w:rsidRPr="00CC3DB5">
        <w:rPr>
          <w:i/>
          <w:iCs/>
        </w:rPr>
        <w:t>J. Neurosci. Off. J. Soc. Neurosci.</w:t>
      </w:r>
      <w:r w:rsidRPr="00CC3DB5">
        <w:t xml:space="preserve"> </w:t>
      </w:r>
      <w:r w:rsidRPr="00CC3DB5">
        <w:rPr>
          <w:b/>
          <w:bCs/>
        </w:rPr>
        <w:t>30</w:t>
      </w:r>
      <w:r w:rsidRPr="00CC3DB5">
        <w:t>, 7587–7597 (2010).</w:t>
      </w:r>
    </w:p>
    <w:p w14:paraId="647BF64E" w14:textId="77777777" w:rsidR="00ED72E6" w:rsidRPr="00CC3DB5" w:rsidRDefault="00ED72E6" w:rsidP="00ED72E6">
      <w:pPr>
        <w:pStyle w:val="Bibliographie"/>
      </w:pPr>
      <w:r w:rsidRPr="00CC3DB5">
        <w:t xml:space="preserve">27. </w:t>
      </w:r>
      <w:r w:rsidRPr="00CC3DB5">
        <w:tab/>
        <w:t xml:space="preserve">P. X. Joris, P. H. Smith, T. C. Yin, Enhancement of neural synchronization in the anteroventral cochlear nucleus. II. Responses in the tuning curve tail. </w:t>
      </w:r>
      <w:r w:rsidRPr="00CC3DB5">
        <w:rPr>
          <w:i/>
          <w:iCs/>
        </w:rPr>
        <w:t>J. Neurophysiol.</w:t>
      </w:r>
      <w:r w:rsidRPr="00CC3DB5">
        <w:t xml:space="preserve"> </w:t>
      </w:r>
      <w:r w:rsidRPr="00CC3DB5">
        <w:rPr>
          <w:b/>
          <w:bCs/>
        </w:rPr>
        <w:t>71</w:t>
      </w:r>
      <w:r w:rsidRPr="00CC3DB5">
        <w:t>, 1037–1051 (1994).</w:t>
      </w:r>
    </w:p>
    <w:p w14:paraId="02A50613" w14:textId="77777777" w:rsidR="00ED72E6" w:rsidRPr="00CC3DB5" w:rsidRDefault="00ED72E6" w:rsidP="00ED72E6">
      <w:pPr>
        <w:pStyle w:val="Bibliographie"/>
      </w:pPr>
      <w:r w:rsidRPr="00CC3DB5">
        <w:t xml:space="preserve">28. </w:t>
      </w:r>
      <w:r w:rsidRPr="00CC3DB5">
        <w:tab/>
        <w:t xml:space="preserve">N. Strenzke, S. Chanda, C. Kopp-Scheinpflug, D. Khimich, K. Reim, A. V. Bulankina, A. Neef, F. Wolf, N. Brose, M. A. Xu-Friedman, T. Moser, Complexin-I Is Required for High-Fidelity Transmission at the Endbulb of Held Auditory Synapse. </w:t>
      </w:r>
      <w:r w:rsidRPr="00CC3DB5">
        <w:rPr>
          <w:i/>
          <w:iCs/>
        </w:rPr>
        <w:t>J. Neurosci.</w:t>
      </w:r>
      <w:r w:rsidRPr="00CC3DB5">
        <w:t xml:space="preserve"> </w:t>
      </w:r>
      <w:r w:rsidRPr="00CC3DB5">
        <w:rPr>
          <w:b/>
          <w:bCs/>
        </w:rPr>
        <w:t>29</w:t>
      </w:r>
      <w:r w:rsidRPr="00CC3DB5">
        <w:t>, 7991–8004 (2009).</w:t>
      </w:r>
    </w:p>
    <w:p w14:paraId="0FE6C46C" w14:textId="77777777" w:rsidR="00ED72E6" w:rsidRPr="00CC3DB5" w:rsidRDefault="00ED72E6" w:rsidP="00ED72E6">
      <w:pPr>
        <w:pStyle w:val="Bibliographie"/>
      </w:pPr>
      <w:r w:rsidRPr="00CC3DB5">
        <w:t xml:space="preserve">29. </w:t>
      </w:r>
      <w:r w:rsidRPr="00CC3DB5">
        <w:tab/>
        <w:t xml:space="preserve">M. C. Liberman, Central projections of auditory-nerve fibers of differing spontaneous rate. I. Anteroventral cochlear nucleus. </w:t>
      </w:r>
      <w:r w:rsidRPr="00CC3DB5">
        <w:rPr>
          <w:i/>
          <w:iCs/>
        </w:rPr>
        <w:t>J. Comp. Neurol.</w:t>
      </w:r>
      <w:r w:rsidRPr="00CC3DB5">
        <w:t xml:space="preserve"> </w:t>
      </w:r>
      <w:r w:rsidRPr="00CC3DB5">
        <w:rPr>
          <w:b/>
          <w:bCs/>
        </w:rPr>
        <w:t>313</w:t>
      </w:r>
      <w:r w:rsidRPr="00CC3DB5">
        <w:t>, 240–258 (1991).</w:t>
      </w:r>
    </w:p>
    <w:p w14:paraId="230A1B96" w14:textId="77777777" w:rsidR="00ED72E6" w:rsidRPr="00CC3DB5" w:rsidRDefault="00ED72E6" w:rsidP="00ED72E6">
      <w:pPr>
        <w:pStyle w:val="Bibliographie"/>
      </w:pPr>
      <w:r w:rsidRPr="00CC3DB5">
        <w:t xml:space="preserve">30. </w:t>
      </w:r>
      <w:r w:rsidRPr="00CC3DB5">
        <w:tab/>
        <w:t xml:space="preserve">Y. Yang, B. Ramamurthy, A. Neef, M. A. Xu-Friedman, Low Somatic Sodium Conductance Enhances Action Potential Precision in Time-Coding Auditory Neurons. </w:t>
      </w:r>
      <w:r w:rsidRPr="00CC3DB5">
        <w:rPr>
          <w:i/>
          <w:iCs/>
        </w:rPr>
        <w:t>J. Neurosci.</w:t>
      </w:r>
      <w:r w:rsidRPr="00CC3DB5">
        <w:t xml:space="preserve"> </w:t>
      </w:r>
      <w:r w:rsidRPr="00CC3DB5">
        <w:rPr>
          <w:b/>
          <w:bCs/>
        </w:rPr>
        <w:t>36</w:t>
      </w:r>
      <w:r w:rsidRPr="00CC3DB5">
        <w:t>, 11999–12009 (2016).</w:t>
      </w:r>
    </w:p>
    <w:p w14:paraId="55D10463" w14:textId="77777777" w:rsidR="00ED72E6" w:rsidRPr="00CC3DB5" w:rsidRDefault="00ED72E6" w:rsidP="00ED72E6">
      <w:pPr>
        <w:pStyle w:val="Bibliographie"/>
      </w:pPr>
      <w:r w:rsidRPr="00CC3DB5">
        <w:t xml:space="preserve">31. </w:t>
      </w:r>
      <w:r w:rsidRPr="00CC3DB5">
        <w:tab/>
        <w:t xml:space="preserve">A. M. Taberner, M. C. Liberman, Response Properties of Single Auditory Nerve Fibers in the Mouse. </w:t>
      </w:r>
      <w:r w:rsidRPr="00CC3DB5">
        <w:rPr>
          <w:i/>
          <w:iCs/>
        </w:rPr>
        <w:t>J. Neurophysiol.</w:t>
      </w:r>
      <w:r w:rsidRPr="00CC3DB5">
        <w:t xml:space="preserve"> </w:t>
      </w:r>
      <w:r w:rsidRPr="00CC3DB5">
        <w:rPr>
          <w:b/>
          <w:bCs/>
        </w:rPr>
        <w:t>93</w:t>
      </w:r>
      <w:r w:rsidRPr="00CC3DB5">
        <w:t>, 557–569 (2005).</w:t>
      </w:r>
    </w:p>
    <w:p w14:paraId="4EA21AF6" w14:textId="77777777" w:rsidR="00ED72E6" w:rsidRPr="00CC3DB5" w:rsidRDefault="00ED72E6" w:rsidP="00ED72E6">
      <w:pPr>
        <w:pStyle w:val="Bibliographie"/>
      </w:pPr>
      <w:r w:rsidRPr="00CC3DB5">
        <w:t xml:space="preserve">32. </w:t>
      </w:r>
      <w:r w:rsidRPr="00CC3DB5">
        <w:tab/>
        <w:t xml:space="preserve">G. Ehret, M. Frankenreiter, Quantitative analysis of cochlear structures in the house mouse in relation to mechanisms of acoustical information processing. </w:t>
      </w:r>
      <w:r w:rsidRPr="00CC3DB5">
        <w:rPr>
          <w:i/>
          <w:iCs/>
        </w:rPr>
        <w:t>J. Comp. Physiol.</w:t>
      </w:r>
      <w:r w:rsidRPr="00CC3DB5">
        <w:t xml:space="preserve"> </w:t>
      </w:r>
      <w:r w:rsidRPr="00CC3DB5">
        <w:rPr>
          <w:b/>
          <w:bCs/>
        </w:rPr>
        <w:t>122</w:t>
      </w:r>
      <w:r w:rsidRPr="00CC3DB5">
        <w:t>, 65–85 (1977).</w:t>
      </w:r>
    </w:p>
    <w:p w14:paraId="3BF136C5" w14:textId="77777777" w:rsidR="00ED72E6" w:rsidRPr="00CC3DB5" w:rsidRDefault="00ED72E6" w:rsidP="00ED72E6">
      <w:pPr>
        <w:pStyle w:val="Bibliographie"/>
      </w:pPr>
      <w:r w:rsidRPr="00CC3DB5">
        <w:t xml:space="preserve">33. </w:t>
      </w:r>
      <w:r w:rsidRPr="00CC3DB5">
        <w:tab/>
        <w:t xml:space="preserve">H. M. Schmitz, S. B. Johnson, P. A. Santi, Kanamycin-Furosemide Ototoxicity in the Mouse Cochlea: A 3-Dimensional Analysis. </w:t>
      </w:r>
      <w:r w:rsidRPr="00CC3DB5">
        <w:rPr>
          <w:i/>
          <w:iCs/>
        </w:rPr>
        <w:t>Otolaryngol. Neck Surg.</w:t>
      </w:r>
      <w:r w:rsidRPr="00CC3DB5">
        <w:t xml:space="preserve"> </w:t>
      </w:r>
      <w:r w:rsidRPr="00CC3DB5">
        <w:rPr>
          <w:b/>
          <w:bCs/>
        </w:rPr>
        <w:t>150</w:t>
      </w:r>
      <w:r w:rsidRPr="00CC3DB5">
        <w:t>, 666–672 (2014).</w:t>
      </w:r>
    </w:p>
    <w:p w14:paraId="2FCEF085" w14:textId="77777777" w:rsidR="00ED72E6" w:rsidRPr="00CC3DB5" w:rsidRDefault="00ED72E6" w:rsidP="00ED72E6">
      <w:pPr>
        <w:pStyle w:val="Bibliographie"/>
      </w:pPr>
      <w:r w:rsidRPr="00CC3DB5">
        <w:t xml:space="preserve">34. </w:t>
      </w:r>
      <w:r w:rsidRPr="00CC3DB5">
        <w:tab/>
        <w:t xml:space="preserve">H. C. Ou, G. W. Harding, B. A. Bohne, An anatomically based frequency–place map for the mouse cochlea. </w:t>
      </w:r>
      <w:r w:rsidRPr="00CC3DB5">
        <w:rPr>
          <w:i/>
          <w:iCs/>
        </w:rPr>
        <w:t>Hear. Res.</w:t>
      </w:r>
      <w:r w:rsidRPr="00CC3DB5">
        <w:t xml:space="preserve"> </w:t>
      </w:r>
      <w:r w:rsidRPr="00CC3DB5">
        <w:rPr>
          <w:b/>
          <w:bCs/>
        </w:rPr>
        <w:t>145</w:t>
      </w:r>
      <w:r w:rsidRPr="00CC3DB5">
        <w:t>, 123–129 (2000).</w:t>
      </w:r>
    </w:p>
    <w:p w14:paraId="30EDE6B3" w14:textId="77777777" w:rsidR="00ED72E6" w:rsidRPr="00CC3DB5" w:rsidRDefault="00ED72E6" w:rsidP="00ED72E6">
      <w:pPr>
        <w:pStyle w:val="Bibliographie"/>
      </w:pPr>
      <w:r w:rsidRPr="00CC3DB5">
        <w:t xml:space="preserve">35. </w:t>
      </w:r>
      <w:r w:rsidRPr="00CC3DB5">
        <w:tab/>
        <w:t xml:space="preserve">M. Müller, K. von Hünerbein, S. Hoidis, J. W. T. Smolders, A physiological place-frequency map of the cochlea in the CBA/J mouse. </w:t>
      </w:r>
      <w:r w:rsidRPr="00CC3DB5">
        <w:rPr>
          <w:i/>
          <w:iCs/>
        </w:rPr>
        <w:t>Hear. Res.</w:t>
      </w:r>
      <w:r w:rsidRPr="00CC3DB5">
        <w:t xml:space="preserve"> </w:t>
      </w:r>
      <w:r w:rsidRPr="00CC3DB5">
        <w:rPr>
          <w:b/>
          <w:bCs/>
        </w:rPr>
        <w:t>202</w:t>
      </w:r>
      <w:r w:rsidRPr="00CC3DB5">
        <w:t>, 63–73 (2005).</w:t>
      </w:r>
    </w:p>
    <w:p w14:paraId="31B82656" w14:textId="77777777" w:rsidR="00ED72E6" w:rsidRPr="00CC3DB5" w:rsidRDefault="00ED72E6" w:rsidP="00ED72E6">
      <w:pPr>
        <w:pStyle w:val="Bibliographie"/>
      </w:pPr>
      <w:r w:rsidRPr="00CC3DB5">
        <w:lastRenderedPageBreak/>
        <w:t xml:space="preserve">36. </w:t>
      </w:r>
      <w:r w:rsidRPr="00CC3DB5">
        <w:tab/>
        <w:t xml:space="preserve">V. A. Lukashkina, S. Levic, A. N. Lukashkin, N. Strenzke, I. J. Russell, A connexin30 mutation rescues hearing and reveals roles for gap junctions in cochlear amplification and micromechanics. </w:t>
      </w:r>
      <w:r w:rsidRPr="00CC3DB5">
        <w:rPr>
          <w:i/>
          <w:iCs/>
        </w:rPr>
        <w:t>Nat. Commun.</w:t>
      </w:r>
      <w:r w:rsidRPr="00CC3DB5">
        <w:t xml:space="preserve"> </w:t>
      </w:r>
      <w:r w:rsidRPr="00CC3DB5">
        <w:rPr>
          <w:b/>
          <w:bCs/>
        </w:rPr>
        <w:t>8</w:t>
      </w:r>
      <w:r w:rsidRPr="00CC3DB5">
        <w:t>, 14530 (2017).</w:t>
      </w:r>
    </w:p>
    <w:p w14:paraId="00A38BC2" w14:textId="77777777" w:rsidR="00ED72E6" w:rsidRPr="00CC3DB5" w:rsidRDefault="00ED72E6" w:rsidP="00ED72E6">
      <w:pPr>
        <w:pStyle w:val="Bibliographie"/>
      </w:pPr>
      <w:r w:rsidRPr="00CC3DB5">
        <w:t xml:space="preserve">37. </w:t>
      </w:r>
      <w:r w:rsidRPr="00CC3DB5">
        <w:tab/>
        <w:t xml:space="preserve">N. He, J. R. Dubno, J. H. Mills, Frequency and intensity discrimination measured in a maximum-likelihood procedure from young and aged normal-hearing subjects. </w:t>
      </w:r>
      <w:r w:rsidRPr="00CC3DB5">
        <w:rPr>
          <w:i/>
          <w:iCs/>
        </w:rPr>
        <w:t>J. Acoust. Soc. Am.</w:t>
      </w:r>
      <w:r w:rsidRPr="00CC3DB5">
        <w:t xml:space="preserve"> </w:t>
      </w:r>
      <w:r w:rsidRPr="00CC3DB5">
        <w:rPr>
          <w:b/>
          <w:bCs/>
        </w:rPr>
        <w:t>103</w:t>
      </w:r>
      <w:r w:rsidRPr="00CC3DB5">
        <w:t>, 553–565 (1998).</w:t>
      </w:r>
    </w:p>
    <w:p w14:paraId="1D355524" w14:textId="77777777" w:rsidR="00ED72E6" w:rsidRPr="00CC3DB5" w:rsidRDefault="00ED72E6" w:rsidP="00ED72E6">
      <w:pPr>
        <w:pStyle w:val="Bibliographie"/>
      </w:pPr>
      <w:r w:rsidRPr="00CC3DB5">
        <w:t xml:space="preserve">38. </w:t>
      </w:r>
      <w:r w:rsidRPr="00CC3DB5">
        <w:tab/>
        <w:t xml:space="preserve">O. Stakhovskaya, D. Sridhar, B. H. Bonham, P. A. Leake, Frequency Map for the Human Cochlear Spiral Ganglion: Implications for Cochlear Implants. </w:t>
      </w:r>
      <w:r w:rsidRPr="00CC3DB5">
        <w:rPr>
          <w:i/>
          <w:iCs/>
        </w:rPr>
        <w:t>J. Assoc. Res. Otolaryngol.</w:t>
      </w:r>
      <w:r w:rsidRPr="00CC3DB5">
        <w:t xml:space="preserve"> </w:t>
      </w:r>
      <w:r w:rsidRPr="00CC3DB5">
        <w:rPr>
          <w:b/>
          <w:bCs/>
        </w:rPr>
        <w:t>8</w:t>
      </w:r>
      <w:r w:rsidRPr="00CC3DB5">
        <w:t>, 220–233 (2007).</w:t>
      </w:r>
    </w:p>
    <w:p w14:paraId="08437C44" w14:textId="7E7BAE79" w:rsidR="00800C1B" w:rsidRPr="00CC3DB5" w:rsidRDefault="00D007BD" w:rsidP="00E11213">
      <w:pPr>
        <w:spacing w:line="240" w:lineRule="auto"/>
        <w:jc w:val="both"/>
        <w:rPr>
          <w:lang w:val="en-US"/>
        </w:rPr>
      </w:pPr>
      <w:r w:rsidRPr="00CC3DB5">
        <w:rPr>
          <w:lang w:val="en-US"/>
        </w:rPr>
        <w:fldChar w:fldCharType="end"/>
      </w:r>
    </w:p>
    <w:p w14:paraId="30E2B6FC" w14:textId="05785E07" w:rsidR="00FE62B5" w:rsidRPr="00CC3DB5" w:rsidRDefault="00FE62B5" w:rsidP="00E11213">
      <w:pPr>
        <w:spacing w:line="240" w:lineRule="auto"/>
        <w:jc w:val="both"/>
        <w:rPr>
          <w:lang w:val="en-US"/>
        </w:rPr>
      </w:pPr>
    </w:p>
    <w:sectPr w:rsidR="00FE62B5" w:rsidRPr="00CC3DB5" w:rsidSect="00274231">
      <w:footerReference w:type="even" r:id="rId25"/>
      <w:footerReference w:type="default" r:id="rId26"/>
      <w:pgSz w:w="11900" w:h="16840"/>
      <w:pgMar w:top="1411" w:right="1411" w:bottom="1138" w:left="1411"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537DD8C" w14:textId="77777777" w:rsidR="000425E4" w:rsidRDefault="000425E4" w:rsidP="00B572F3">
      <w:pPr>
        <w:spacing w:line="240" w:lineRule="auto"/>
      </w:pPr>
      <w:r>
        <w:separator/>
      </w:r>
    </w:p>
  </w:endnote>
  <w:endnote w:type="continuationSeparator" w:id="0">
    <w:p w14:paraId="0930C833" w14:textId="77777777" w:rsidR="000425E4" w:rsidRDefault="000425E4" w:rsidP="00B572F3">
      <w:pPr>
        <w:spacing w:line="240" w:lineRule="auto"/>
      </w:pPr>
      <w:r>
        <w:continuationSeparator/>
      </w:r>
    </w:p>
  </w:endnote>
  <w:endnote w:type="continuationNotice" w:id="1">
    <w:p w14:paraId="688482E5" w14:textId="77777777" w:rsidR="000425E4" w:rsidRDefault="000425E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FB322D1" w14:textId="77777777" w:rsidR="000425E4" w:rsidRDefault="000425E4" w:rsidP="00F323E0">
    <w:pPr>
      <w:pStyle w:val="Pieddepage"/>
      <w:framePr w:wrap="none"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22F297B8" w14:textId="77777777" w:rsidR="000425E4" w:rsidRDefault="000425E4" w:rsidP="001A7514">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413641" w14:textId="725E1E25" w:rsidR="000425E4" w:rsidRDefault="000425E4" w:rsidP="00F323E0">
    <w:pPr>
      <w:pStyle w:val="Pieddepage"/>
      <w:framePr w:wrap="none"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327AA6">
      <w:rPr>
        <w:rStyle w:val="Numrodepage"/>
        <w:noProof/>
      </w:rPr>
      <w:t>4</w:t>
    </w:r>
    <w:r>
      <w:rPr>
        <w:rStyle w:val="Numrodepage"/>
      </w:rPr>
      <w:fldChar w:fldCharType="end"/>
    </w:r>
  </w:p>
  <w:p w14:paraId="3CC18612" w14:textId="77777777" w:rsidR="000425E4" w:rsidRDefault="000425E4" w:rsidP="001A7514">
    <w:pPr>
      <w:pStyle w:val="Pieddepag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9622880" w14:textId="77777777" w:rsidR="000425E4" w:rsidRDefault="000425E4" w:rsidP="00B572F3">
      <w:pPr>
        <w:spacing w:line="240" w:lineRule="auto"/>
      </w:pPr>
      <w:r>
        <w:separator/>
      </w:r>
    </w:p>
  </w:footnote>
  <w:footnote w:type="continuationSeparator" w:id="0">
    <w:p w14:paraId="5F5906E5" w14:textId="77777777" w:rsidR="000425E4" w:rsidRDefault="000425E4" w:rsidP="00B572F3">
      <w:pPr>
        <w:spacing w:line="240" w:lineRule="auto"/>
      </w:pPr>
      <w:r>
        <w:continuationSeparator/>
      </w:r>
    </w:p>
  </w:footnote>
  <w:footnote w:type="continuationNotice" w:id="1">
    <w:p w14:paraId="0ED497D4" w14:textId="77777777" w:rsidR="000425E4" w:rsidRDefault="000425E4">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39152F9"/>
    <w:multiLevelType w:val="hybridMultilevel"/>
    <w:tmpl w:val="3FAC0CDA"/>
    <w:lvl w:ilvl="0" w:tplc="1ADA905A">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73D45734"/>
    <w:multiLevelType w:val="hybridMultilevel"/>
    <w:tmpl w:val="C75EEAC2"/>
    <w:lvl w:ilvl="0" w:tplc="19D8F522">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7B6D6A47"/>
    <w:multiLevelType w:val="hybridMultilevel"/>
    <w:tmpl w:val="C76C096C"/>
    <w:lvl w:ilvl="0" w:tplc="DAE080CE">
      <w:start w:val="1"/>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proofState w:spelling="clean" w:grammar="clean"/>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c3sTQ1MDI1NjS1MDBW0lEKTi0uzszPAykwrgUAB81mTCwAAAA="/>
  </w:docVars>
  <w:rsids>
    <w:rsidRoot w:val="00CC61E9"/>
    <w:rsid w:val="00003858"/>
    <w:rsid w:val="00004D94"/>
    <w:rsid w:val="00004F88"/>
    <w:rsid w:val="000072CD"/>
    <w:rsid w:val="000144A8"/>
    <w:rsid w:val="00015E64"/>
    <w:rsid w:val="000171CC"/>
    <w:rsid w:val="000178C1"/>
    <w:rsid w:val="00022ADB"/>
    <w:rsid w:val="00023F47"/>
    <w:rsid w:val="000251B7"/>
    <w:rsid w:val="0002520C"/>
    <w:rsid w:val="000321BB"/>
    <w:rsid w:val="00033CA8"/>
    <w:rsid w:val="00034006"/>
    <w:rsid w:val="00034686"/>
    <w:rsid w:val="00036522"/>
    <w:rsid w:val="00037565"/>
    <w:rsid w:val="00037E38"/>
    <w:rsid w:val="00040DCF"/>
    <w:rsid w:val="00041128"/>
    <w:rsid w:val="0004174A"/>
    <w:rsid w:val="000425E4"/>
    <w:rsid w:val="000447ED"/>
    <w:rsid w:val="00044B09"/>
    <w:rsid w:val="00046A6E"/>
    <w:rsid w:val="00052892"/>
    <w:rsid w:val="00057035"/>
    <w:rsid w:val="00061B34"/>
    <w:rsid w:val="00075E00"/>
    <w:rsid w:val="000848D8"/>
    <w:rsid w:val="00084BC2"/>
    <w:rsid w:val="00086430"/>
    <w:rsid w:val="000938C8"/>
    <w:rsid w:val="000969DC"/>
    <w:rsid w:val="00096BAD"/>
    <w:rsid w:val="00097524"/>
    <w:rsid w:val="000A0135"/>
    <w:rsid w:val="000A0A89"/>
    <w:rsid w:val="000A1473"/>
    <w:rsid w:val="000A25EA"/>
    <w:rsid w:val="000A2DBD"/>
    <w:rsid w:val="000A4321"/>
    <w:rsid w:val="000A4DDA"/>
    <w:rsid w:val="000A6FBE"/>
    <w:rsid w:val="000B176C"/>
    <w:rsid w:val="000B2BB9"/>
    <w:rsid w:val="000B70C0"/>
    <w:rsid w:val="000C0665"/>
    <w:rsid w:val="000C12AB"/>
    <w:rsid w:val="000C49E2"/>
    <w:rsid w:val="000C6BEA"/>
    <w:rsid w:val="000C7ACF"/>
    <w:rsid w:val="000D4AAA"/>
    <w:rsid w:val="000D5DA4"/>
    <w:rsid w:val="000D786D"/>
    <w:rsid w:val="000E2634"/>
    <w:rsid w:val="000E59E9"/>
    <w:rsid w:val="000E6D09"/>
    <w:rsid w:val="000E7E86"/>
    <w:rsid w:val="000F4D46"/>
    <w:rsid w:val="00100C35"/>
    <w:rsid w:val="001016E9"/>
    <w:rsid w:val="00104B55"/>
    <w:rsid w:val="00104F0B"/>
    <w:rsid w:val="00105F3B"/>
    <w:rsid w:val="00110D84"/>
    <w:rsid w:val="0011459C"/>
    <w:rsid w:val="001263DC"/>
    <w:rsid w:val="001263ED"/>
    <w:rsid w:val="001311F8"/>
    <w:rsid w:val="00131E65"/>
    <w:rsid w:val="0013360C"/>
    <w:rsid w:val="00141FBA"/>
    <w:rsid w:val="0014317F"/>
    <w:rsid w:val="001460AA"/>
    <w:rsid w:val="00154772"/>
    <w:rsid w:val="00156180"/>
    <w:rsid w:val="00156EF7"/>
    <w:rsid w:val="0016266F"/>
    <w:rsid w:val="001651D7"/>
    <w:rsid w:val="001653D6"/>
    <w:rsid w:val="00166FB2"/>
    <w:rsid w:val="00174B06"/>
    <w:rsid w:val="0018051E"/>
    <w:rsid w:val="00184495"/>
    <w:rsid w:val="001871FA"/>
    <w:rsid w:val="001911FB"/>
    <w:rsid w:val="0019592E"/>
    <w:rsid w:val="001966D9"/>
    <w:rsid w:val="00196D9E"/>
    <w:rsid w:val="00197C54"/>
    <w:rsid w:val="001A0735"/>
    <w:rsid w:val="001A0F33"/>
    <w:rsid w:val="001A4823"/>
    <w:rsid w:val="001A7464"/>
    <w:rsid w:val="001A7514"/>
    <w:rsid w:val="001B0381"/>
    <w:rsid w:val="001B3B07"/>
    <w:rsid w:val="001B44B8"/>
    <w:rsid w:val="001B7693"/>
    <w:rsid w:val="001C3A6A"/>
    <w:rsid w:val="001C6372"/>
    <w:rsid w:val="001D1499"/>
    <w:rsid w:val="001D7059"/>
    <w:rsid w:val="001E52F8"/>
    <w:rsid w:val="001E54F4"/>
    <w:rsid w:val="001F56D6"/>
    <w:rsid w:val="001F70F5"/>
    <w:rsid w:val="002005A2"/>
    <w:rsid w:val="00205018"/>
    <w:rsid w:val="00211AA2"/>
    <w:rsid w:val="002131C5"/>
    <w:rsid w:val="00214210"/>
    <w:rsid w:val="00216C6D"/>
    <w:rsid w:val="00217F2F"/>
    <w:rsid w:val="002236F3"/>
    <w:rsid w:val="0023122C"/>
    <w:rsid w:val="00232E5E"/>
    <w:rsid w:val="002336C6"/>
    <w:rsid w:val="002363A7"/>
    <w:rsid w:val="00240452"/>
    <w:rsid w:val="002405C8"/>
    <w:rsid w:val="0024689A"/>
    <w:rsid w:val="00246A3E"/>
    <w:rsid w:val="00252E11"/>
    <w:rsid w:val="002541BE"/>
    <w:rsid w:val="00256518"/>
    <w:rsid w:val="0026523B"/>
    <w:rsid w:val="00265C3E"/>
    <w:rsid w:val="002672BE"/>
    <w:rsid w:val="002679E0"/>
    <w:rsid w:val="00270964"/>
    <w:rsid w:val="002738DD"/>
    <w:rsid w:val="0027392E"/>
    <w:rsid w:val="00274231"/>
    <w:rsid w:val="00275701"/>
    <w:rsid w:val="0027585C"/>
    <w:rsid w:val="002815C0"/>
    <w:rsid w:val="00284E52"/>
    <w:rsid w:val="00285BF7"/>
    <w:rsid w:val="002957F3"/>
    <w:rsid w:val="002A2A36"/>
    <w:rsid w:val="002A4F9C"/>
    <w:rsid w:val="002A6ECF"/>
    <w:rsid w:val="002C0A29"/>
    <w:rsid w:val="002C3791"/>
    <w:rsid w:val="002C51B4"/>
    <w:rsid w:val="002D0326"/>
    <w:rsid w:val="002D2687"/>
    <w:rsid w:val="002D3CEE"/>
    <w:rsid w:val="002D405A"/>
    <w:rsid w:val="002D6AC9"/>
    <w:rsid w:val="002E6251"/>
    <w:rsid w:val="002E65C9"/>
    <w:rsid w:val="002E7B4C"/>
    <w:rsid w:val="002F27EA"/>
    <w:rsid w:val="002F4580"/>
    <w:rsid w:val="002F5697"/>
    <w:rsid w:val="003009AC"/>
    <w:rsid w:val="00300CCC"/>
    <w:rsid w:val="00301E64"/>
    <w:rsid w:val="00304760"/>
    <w:rsid w:val="003066EE"/>
    <w:rsid w:val="00310740"/>
    <w:rsid w:val="00316132"/>
    <w:rsid w:val="00320E1D"/>
    <w:rsid w:val="003269BE"/>
    <w:rsid w:val="00327AA6"/>
    <w:rsid w:val="00332E4C"/>
    <w:rsid w:val="003330DC"/>
    <w:rsid w:val="00333430"/>
    <w:rsid w:val="00335B75"/>
    <w:rsid w:val="0034191A"/>
    <w:rsid w:val="00342AB6"/>
    <w:rsid w:val="0034311A"/>
    <w:rsid w:val="003504CC"/>
    <w:rsid w:val="003507EC"/>
    <w:rsid w:val="00352ABA"/>
    <w:rsid w:val="00355974"/>
    <w:rsid w:val="0035659F"/>
    <w:rsid w:val="00356DE3"/>
    <w:rsid w:val="00360093"/>
    <w:rsid w:val="00362DBE"/>
    <w:rsid w:val="00364AE3"/>
    <w:rsid w:val="00364B90"/>
    <w:rsid w:val="0036654E"/>
    <w:rsid w:val="00367474"/>
    <w:rsid w:val="00370F51"/>
    <w:rsid w:val="003724C8"/>
    <w:rsid w:val="0038055C"/>
    <w:rsid w:val="00382735"/>
    <w:rsid w:val="00382D8F"/>
    <w:rsid w:val="003846D5"/>
    <w:rsid w:val="003847C4"/>
    <w:rsid w:val="00384F0F"/>
    <w:rsid w:val="00393565"/>
    <w:rsid w:val="003936FB"/>
    <w:rsid w:val="00397A40"/>
    <w:rsid w:val="00397A75"/>
    <w:rsid w:val="003A027D"/>
    <w:rsid w:val="003A2035"/>
    <w:rsid w:val="003A3614"/>
    <w:rsid w:val="003A3EEB"/>
    <w:rsid w:val="003B26AC"/>
    <w:rsid w:val="003B5F93"/>
    <w:rsid w:val="003C0463"/>
    <w:rsid w:val="003C0A7B"/>
    <w:rsid w:val="003C1B48"/>
    <w:rsid w:val="003C26C5"/>
    <w:rsid w:val="003C4C44"/>
    <w:rsid w:val="003C6554"/>
    <w:rsid w:val="003C6F69"/>
    <w:rsid w:val="003D03A5"/>
    <w:rsid w:val="003D0719"/>
    <w:rsid w:val="003D18E2"/>
    <w:rsid w:val="003D52C8"/>
    <w:rsid w:val="003E32D6"/>
    <w:rsid w:val="003F4A09"/>
    <w:rsid w:val="003F54A7"/>
    <w:rsid w:val="00401F41"/>
    <w:rsid w:val="004056DA"/>
    <w:rsid w:val="004060E0"/>
    <w:rsid w:val="00407183"/>
    <w:rsid w:val="00407FE4"/>
    <w:rsid w:val="00410A07"/>
    <w:rsid w:val="0041471F"/>
    <w:rsid w:val="00414F61"/>
    <w:rsid w:val="0041572A"/>
    <w:rsid w:val="0041693A"/>
    <w:rsid w:val="00416D41"/>
    <w:rsid w:val="004173B2"/>
    <w:rsid w:val="00420F1F"/>
    <w:rsid w:val="0042158E"/>
    <w:rsid w:val="00421E2F"/>
    <w:rsid w:val="00423D1C"/>
    <w:rsid w:val="00425F18"/>
    <w:rsid w:val="00427A00"/>
    <w:rsid w:val="0043099C"/>
    <w:rsid w:val="004313CF"/>
    <w:rsid w:val="00431C14"/>
    <w:rsid w:val="00434C62"/>
    <w:rsid w:val="00437C32"/>
    <w:rsid w:val="0044165B"/>
    <w:rsid w:val="00445D87"/>
    <w:rsid w:val="004537E3"/>
    <w:rsid w:val="0046074B"/>
    <w:rsid w:val="00461B1F"/>
    <w:rsid w:val="004663F7"/>
    <w:rsid w:val="0047122B"/>
    <w:rsid w:val="00472ECB"/>
    <w:rsid w:val="00480157"/>
    <w:rsid w:val="00481230"/>
    <w:rsid w:val="00492603"/>
    <w:rsid w:val="004935CC"/>
    <w:rsid w:val="00497D3C"/>
    <w:rsid w:val="00497D64"/>
    <w:rsid w:val="004A0C6E"/>
    <w:rsid w:val="004A2C5C"/>
    <w:rsid w:val="004A3282"/>
    <w:rsid w:val="004A5757"/>
    <w:rsid w:val="004A66BF"/>
    <w:rsid w:val="004B6A97"/>
    <w:rsid w:val="004C5252"/>
    <w:rsid w:val="004D1E1A"/>
    <w:rsid w:val="004D2291"/>
    <w:rsid w:val="004D544D"/>
    <w:rsid w:val="004D5F05"/>
    <w:rsid w:val="004E32CC"/>
    <w:rsid w:val="004E433A"/>
    <w:rsid w:val="004E5BC0"/>
    <w:rsid w:val="004E66B0"/>
    <w:rsid w:val="004E66BA"/>
    <w:rsid w:val="004F062B"/>
    <w:rsid w:val="004F1EA0"/>
    <w:rsid w:val="004F2455"/>
    <w:rsid w:val="00501574"/>
    <w:rsid w:val="00501720"/>
    <w:rsid w:val="00501755"/>
    <w:rsid w:val="00501A0C"/>
    <w:rsid w:val="0050415A"/>
    <w:rsid w:val="00504C67"/>
    <w:rsid w:val="005152AC"/>
    <w:rsid w:val="005170F4"/>
    <w:rsid w:val="0052527B"/>
    <w:rsid w:val="00525FAD"/>
    <w:rsid w:val="005334C1"/>
    <w:rsid w:val="00536DE0"/>
    <w:rsid w:val="00544206"/>
    <w:rsid w:val="00544E32"/>
    <w:rsid w:val="0054752D"/>
    <w:rsid w:val="00550AF6"/>
    <w:rsid w:val="00560E39"/>
    <w:rsid w:val="00564E64"/>
    <w:rsid w:val="005712BC"/>
    <w:rsid w:val="005745F2"/>
    <w:rsid w:val="0057493F"/>
    <w:rsid w:val="005774A6"/>
    <w:rsid w:val="00577EAE"/>
    <w:rsid w:val="00582A24"/>
    <w:rsid w:val="00583970"/>
    <w:rsid w:val="00586417"/>
    <w:rsid w:val="00591A9D"/>
    <w:rsid w:val="00593A9A"/>
    <w:rsid w:val="00594A86"/>
    <w:rsid w:val="00594E45"/>
    <w:rsid w:val="00595688"/>
    <w:rsid w:val="005A0C2A"/>
    <w:rsid w:val="005A3154"/>
    <w:rsid w:val="005A3ADC"/>
    <w:rsid w:val="005A7382"/>
    <w:rsid w:val="005B0AE7"/>
    <w:rsid w:val="005B2AB5"/>
    <w:rsid w:val="005B52D1"/>
    <w:rsid w:val="005C617E"/>
    <w:rsid w:val="005D2635"/>
    <w:rsid w:val="005D3DE8"/>
    <w:rsid w:val="005D43CA"/>
    <w:rsid w:val="005E0E61"/>
    <w:rsid w:val="005E52CF"/>
    <w:rsid w:val="005E54C4"/>
    <w:rsid w:val="005E73E7"/>
    <w:rsid w:val="005F5B3F"/>
    <w:rsid w:val="00600B0E"/>
    <w:rsid w:val="006029CC"/>
    <w:rsid w:val="00604E66"/>
    <w:rsid w:val="00606908"/>
    <w:rsid w:val="006118C5"/>
    <w:rsid w:val="006211A3"/>
    <w:rsid w:val="0062393D"/>
    <w:rsid w:val="00624466"/>
    <w:rsid w:val="00626CEC"/>
    <w:rsid w:val="00626F58"/>
    <w:rsid w:val="00634AE0"/>
    <w:rsid w:val="00634C81"/>
    <w:rsid w:val="00636CE9"/>
    <w:rsid w:val="00644EAC"/>
    <w:rsid w:val="00651A78"/>
    <w:rsid w:val="00652184"/>
    <w:rsid w:val="0066557D"/>
    <w:rsid w:val="006756C8"/>
    <w:rsid w:val="00697697"/>
    <w:rsid w:val="006A49B5"/>
    <w:rsid w:val="006B1A8E"/>
    <w:rsid w:val="006B20B3"/>
    <w:rsid w:val="006B4C93"/>
    <w:rsid w:val="006C2E20"/>
    <w:rsid w:val="006D239B"/>
    <w:rsid w:val="006D32F4"/>
    <w:rsid w:val="006D66F3"/>
    <w:rsid w:val="006D738F"/>
    <w:rsid w:val="006E2247"/>
    <w:rsid w:val="006E2961"/>
    <w:rsid w:val="006E59ED"/>
    <w:rsid w:val="006F0C2D"/>
    <w:rsid w:val="006F0FB2"/>
    <w:rsid w:val="006F1605"/>
    <w:rsid w:val="006F1A31"/>
    <w:rsid w:val="006F20BB"/>
    <w:rsid w:val="006F4562"/>
    <w:rsid w:val="006F55E8"/>
    <w:rsid w:val="006F61AB"/>
    <w:rsid w:val="006F696F"/>
    <w:rsid w:val="00700E64"/>
    <w:rsid w:val="0070141E"/>
    <w:rsid w:val="00702F9F"/>
    <w:rsid w:val="007136AA"/>
    <w:rsid w:val="00713BEF"/>
    <w:rsid w:val="00715CBC"/>
    <w:rsid w:val="00723AB0"/>
    <w:rsid w:val="00724A2A"/>
    <w:rsid w:val="007266D6"/>
    <w:rsid w:val="00726779"/>
    <w:rsid w:val="00732F43"/>
    <w:rsid w:val="007454AB"/>
    <w:rsid w:val="007461C0"/>
    <w:rsid w:val="0075505F"/>
    <w:rsid w:val="007557FF"/>
    <w:rsid w:val="00762A2C"/>
    <w:rsid w:val="00762F8B"/>
    <w:rsid w:val="0076541D"/>
    <w:rsid w:val="00773469"/>
    <w:rsid w:val="00775470"/>
    <w:rsid w:val="00782913"/>
    <w:rsid w:val="00787B4E"/>
    <w:rsid w:val="00793633"/>
    <w:rsid w:val="0079521C"/>
    <w:rsid w:val="00796FA0"/>
    <w:rsid w:val="007A1E31"/>
    <w:rsid w:val="007A434A"/>
    <w:rsid w:val="007A6DEB"/>
    <w:rsid w:val="007B078B"/>
    <w:rsid w:val="007B397B"/>
    <w:rsid w:val="007B4C70"/>
    <w:rsid w:val="007B6D9B"/>
    <w:rsid w:val="007B7C5E"/>
    <w:rsid w:val="007C0B2E"/>
    <w:rsid w:val="007C4BE3"/>
    <w:rsid w:val="007C4BF3"/>
    <w:rsid w:val="007C58FA"/>
    <w:rsid w:val="007D0902"/>
    <w:rsid w:val="007D51AC"/>
    <w:rsid w:val="007D6714"/>
    <w:rsid w:val="007E07D9"/>
    <w:rsid w:val="007E450E"/>
    <w:rsid w:val="007E58AE"/>
    <w:rsid w:val="007E5F4D"/>
    <w:rsid w:val="007E7CC4"/>
    <w:rsid w:val="007F053C"/>
    <w:rsid w:val="007F0B33"/>
    <w:rsid w:val="007F3886"/>
    <w:rsid w:val="00800664"/>
    <w:rsid w:val="00800C1B"/>
    <w:rsid w:val="008044E9"/>
    <w:rsid w:val="00806A1D"/>
    <w:rsid w:val="00810038"/>
    <w:rsid w:val="0081076C"/>
    <w:rsid w:val="00813059"/>
    <w:rsid w:val="00813771"/>
    <w:rsid w:val="00814DBA"/>
    <w:rsid w:val="008153BB"/>
    <w:rsid w:val="00821A1F"/>
    <w:rsid w:val="0082256C"/>
    <w:rsid w:val="00827CBD"/>
    <w:rsid w:val="00830C30"/>
    <w:rsid w:val="00832E71"/>
    <w:rsid w:val="0084003F"/>
    <w:rsid w:val="00844658"/>
    <w:rsid w:val="00850BAD"/>
    <w:rsid w:val="00853297"/>
    <w:rsid w:val="0086428B"/>
    <w:rsid w:val="00865D20"/>
    <w:rsid w:val="00866A20"/>
    <w:rsid w:val="00866C26"/>
    <w:rsid w:val="008671BA"/>
    <w:rsid w:val="008700E3"/>
    <w:rsid w:val="0087065C"/>
    <w:rsid w:val="00871689"/>
    <w:rsid w:val="008735BA"/>
    <w:rsid w:val="00874CCA"/>
    <w:rsid w:val="008774D6"/>
    <w:rsid w:val="00884A38"/>
    <w:rsid w:val="00885139"/>
    <w:rsid w:val="00886FBB"/>
    <w:rsid w:val="00890A2C"/>
    <w:rsid w:val="00890F47"/>
    <w:rsid w:val="008953AA"/>
    <w:rsid w:val="00897D9C"/>
    <w:rsid w:val="008A2A3A"/>
    <w:rsid w:val="008A31A7"/>
    <w:rsid w:val="008A333D"/>
    <w:rsid w:val="008A46BB"/>
    <w:rsid w:val="008A75F2"/>
    <w:rsid w:val="008B3962"/>
    <w:rsid w:val="008B45F4"/>
    <w:rsid w:val="008B5141"/>
    <w:rsid w:val="008B6B5D"/>
    <w:rsid w:val="008C0430"/>
    <w:rsid w:val="008C0A8A"/>
    <w:rsid w:val="008C0C52"/>
    <w:rsid w:val="008C0E79"/>
    <w:rsid w:val="008C32AB"/>
    <w:rsid w:val="008D7532"/>
    <w:rsid w:val="008E646F"/>
    <w:rsid w:val="008F3386"/>
    <w:rsid w:val="008F698B"/>
    <w:rsid w:val="008F7CF9"/>
    <w:rsid w:val="009009EA"/>
    <w:rsid w:val="00900C96"/>
    <w:rsid w:val="00902C26"/>
    <w:rsid w:val="00911F75"/>
    <w:rsid w:val="0092695D"/>
    <w:rsid w:val="00935D2A"/>
    <w:rsid w:val="009409AB"/>
    <w:rsid w:val="0094262A"/>
    <w:rsid w:val="0094368E"/>
    <w:rsid w:val="0094637F"/>
    <w:rsid w:val="009573F3"/>
    <w:rsid w:val="00960116"/>
    <w:rsid w:val="00962786"/>
    <w:rsid w:val="009630C1"/>
    <w:rsid w:val="0096640C"/>
    <w:rsid w:val="00970A42"/>
    <w:rsid w:val="00972F89"/>
    <w:rsid w:val="00976482"/>
    <w:rsid w:val="00980113"/>
    <w:rsid w:val="00981B27"/>
    <w:rsid w:val="00983408"/>
    <w:rsid w:val="00990297"/>
    <w:rsid w:val="00991668"/>
    <w:rsid w:val="0099172F"/>
    <w:rsid w:val="009A7774"/>
    <w:rsid w:val="009B1AF5"/>
    <w:rsid w:val="009B75CC"/>
    <w:rsid w:val="009B7DFC"/>
    <w:rsid w:val="009C3EF5"/>
    <w:rsid w:val="009C58FA"/>
    <w:rsid w:val="009C76F7"/>
    <w:rsid w:val="009D248B"/>
    <w:rsid w:val="009D4459"/>
    <w:rsid w:val="009D716F"/>
    <w:rsid w:val="009E646D"/>
    <w:rsid w:val="009F3CE8"/>
    <w:rsid w:val="009F467D"/>
    <w:rsid w:val="009F4806"/>
    <w:rsid w:val="009F74F3"/>
    <w:rsid w:val="00A00797"/>
    <w:rsid w:val="00A02467"/>
    <w:rsid w:val="00A05329"/>
    <w:rsid w:val="00A11BD0"/>
    <w:rsid w:val="00A145D7"/>
    <w:rsid w:val="00A2014F"/>
    <w:rsid w:val="00A221B3"/>
    <w:rsid w:val="00A31335"/>
    <w:rsid w:val="00A3506A"/>
    <w:rsid w:val="00A41443"/>
    <w:rsid w:val="00A42005"/>
    <w:rsid w:val="00A43EEE"/>
    <w:rsid w:val="00A44475"/>
    <w:rsid w:val="00A47DFA"/>
    <w:rsid w:val="00A5053D"/>
    <w:rsid w:val="00A50E95"/>
    <w:rsid w:val="00A56B43"/>
    <w:rsid w:val="00A644A8"/>
    <w:rsid w:val="00A65069"/>
    <w:rsid w:val="00A70E98"/>
    <w:rsid w:val="00A80904"/>
    <w:rsid w:val="00A818A6"/>
    <w:rsid w:val="00A82B6C"/>
    <w:rsid w:val="00A859FC"/>
    <w:rsid w:val="00A86447"/>
    <w:rsid w:val="00A908BD"/>
    <w:rsid w:val="00A92F56"/>
    <w:rsid w:val="00A93631"/>
    <w:rsid w:val="00A9621A"/>
    <w:rsid w:val="00AB2533"/>
    <w:rsid w:val="00AC5856"/>
    <w:rsid w:val="00AC5E05"/>
    <w:rsid w:val="00AC63BE"/>
    <w:rsid w:val="00AD0687"/>
    <w:rsid w:val="00AD094B"/>
    <w:rsid w:val="00AD3B5E"/>
    <w:rsid w:val="00AD3D44"/>
    <w:rsid w:val="00AD5ABB"/>
    <w:rsid w:val="00AE277F"/>
    <w:rsid w:val="00AF537E"/>
    <w:rsid w:val="00AF64B7"/>
    <w:rsid w:val="00B1095B"/>
    <w:rsid w:val="00B17288"/>
    <w:rsid w:val="00B25E60"/>
    <w:rsid w:val="00B27C5A"/>
    <w:rsid w:val="00B3176D"/>
    <w:rsid w:val="00B31B21"/>
    <w:rsid w:val="00B32556"/>
    <w:rsid w:val="00B344EF"/>
    <w:rsid w:val="00B34AED"/>
    <w:rsid w:val="00B35688"/>
    <w:rsid w:val="00B36507"/>
    <w:rsid w:val="00B36948"/>
    <w:rsid w:val="00B37CFE"/>
    <w:rsid w:val="00B45E5B"/>
    <w:rsid w:val="00B47131"/>
    <w:rsid w:val="00B5269F"/>
    <w:rsid w:val="00B53AAD"/>
    <w:rsid w:val="00B572F3"/>
    <w:rsid w:val="00B61260"/>
    <w:rsid w:val="00B66A61"/>
    <w:rsid w:val="00B66BEB"/>
    <w:rsid w:val="00B737C3"/>
    <w:rsid w:val="00B77658"/>
    <w:rsid w:val="00B82297"/>
    <w:rsid w:val="00B97F03"/>
    <w:rsid w:val="00BA0380"/>
    <w:rsid w:val="00BA455A"/>
    <w:rsid w:val="00BB0C92"/>
    <w:rsid w:val="00BB1BD3"/>
    <w:rsid w:val="00BB20E8"/>
    <w:rsid w:val="00BB6F95"/>
    <w:rsid w:val="00BB7674"/>
    <w:rsid w:val="00BC5548"/>
    <w:rsid w:val="00BC58A4"/>
    <w:rsid w:val="00BC716A"/>
    <w:rsid w:val="00BD0061"/>
    <w:rsid w:val="00BD3FBF"/>
    <w:rsid w:val="00BD5055"/>
    <w:rsid w:val="00BD6C5C"/>
    <w:rsid w:val="00BE277D"/>
    <w:rsid w:val="00BE54F9"/>
    <w:rsid w:val="00BF1CA3"/>
    <w:rsid w:val="00BF4274"/>
    <w:rsid w:val="00BF7EF0"/>
    <w:rsid w:val="00C007BE"/>
    <w:rsid w:val="00C022F1"/>
    <w:rsid w:val="00C02C6D"/>
    <w:rsid w:val="00C031B5"/>
    <w:rsid w:val="00C036B8"/>
    <w:rsid w:val="00C067C3"/>
    <w:rsid w:val="00C137A6"/>
    <w:rsid w:val="00C1605C"/>
    <w:rsid w:val="00C16C7A"/>
    <w:rsid w:val="00C26274"/>
    <w:rsid w:val="00C26A0F"/>
    <w:rsid w:val="00C313D5"/>
    <w:rsid w:val="00C32550"/>
    <w:rsid w:val="00C32E48"/>
    <w:rsid w:val="00C33606"/>
    <w:rsid w:val="00C34A02"/>
    <w:rsid w:val="00C474BB"/>
    <w:rsid w:val="00C5362B"/>
    <w:rsid w:val="00C54589"/>
    <w:rsid w:val="00C57A84"/>
    <w:rsid w:val="00C63EA9"/>
    <w:rsid w:val="00C6485F"/>
    <w:rsid w:val="00C65EBA"/>
    <w:rsid w:val="00C67437"/>
    <w:rsid w:val="00C71022"/>
    <w:rsid w:val="00C740B4"/>
    <w:rsid w:val="00C7545D"/>
    <w:rsid w:val="00C81A0B"/>
    <w:rsid w:val="00C81B00"/>
    <w:rsid w:val="00C81F75"/>
    <w:rsid w:val="00C87DC7"/>
    <w:rsid w:val="00C90454"/>
    <w:rsid w:val="00C92D12"/>
    <w:rsid w:val="00C964FD"/>
    <w:rsid w:val="00C97954"/>
    <w:rsid w:val="00CA3237"/>
    <w:rsid w:val="00CA536D"/>
    <w:rsid w:val="00CB0E64"/>
    <w:rsid w:val="00CB6EBE"/>
    <w:rsid w:val="00CB7197"/>
    <w:rsid w:val="00CC3DB5"/>
    <w:rsid w:val="00CC61E9"/>
    <w:rsid w:val="00CD4756"/>
    <w:rsid w:val="00CE01FB"/>
    <w:rsid w:val="00CE1B5E"/>
    <w:rsid w:val="00CE37BC"/>
    <w:rsid w:val="00CE41B4"/>
    <w:rsid w:val="00CE4670"/>
    <w:rsid w:val="00CE6B84"/>
    <w:rsid w:val="00CE6B9F"/>
    <w:rsid w:val="00CF5563"/>
    <w:rsid w:val="00CF6150"/>
    <w:rsid w:val="00CF6914"/>
    <w:rsid w:val="00D007BD"/>
    <w:rsid w:val="00D00A11"/>
    <w:rsid w:val="00D02282"/>
    <w:rsid w:val="00D11EBC"/>
    <w:rsid w:val="00D22AB3"/>
    <w:rsid w:val="00D23D9F"/>
    <w:rsid w:val="00D25BC0"/>
    <w:rsid w:val="00D25F09"/>
    <w:rsid w:val="00D26A5D"/>
    <w:rsid w:val="00D32ABE"/>
    <w:rsid w:val="00D32C28"/>
    <w:rsid w:val="00D34B71"/>
    <w:rsid w:val="00D35A5F"/>
    <w:rsid w:val="00D376FE"/>
    <w:rsid w:val="00D544A7"/>
    <w:rsid w:val="00D54A83"/>
    <w:rsid w:val="00D54E35"/>
    <w:rsid w:val="00D57ECA"/>
    <w:rsid w:val="00D61B1C"/>
    <w:rsid w:val="00D64DCB"/>
    <w:rsid w:val="00D667DA"/>
    <w:rsid w:val="00D66C1B"/>
    <w:rsid w:val="00D71AF2"/>
    <w:rsid w:val="00D728B2"/>
    <w:rsid w:val="00D76FD8"/>
    <w:rsid w:val="00D91049"/>
    <w:rsid w:val="00D92572"/>
    <w:rsid w:val="00D9349D"/>
    <w:rsid w:val="00DA4874"/>
    <w:rsid w:val="00DA506F"/>
    <w:rsid w:val="00DB2C46"/>
    <w:rsid w:val="00DB5466"/>
    <w:rsid w:val="00DC1177"/>
    <w:rsid w:val="00DC2B9E"/>
    <w:rsid w:val="00DC2BDB"/>
    <w:rsid w:val="00DC7C79"/>
    <w:rsid w:val="00DD2F5F"/>
    <w:rsid w:val="00DD3319"/>
    <w:rsid w:val="00DD3869"/>
    <w:rsid w:val="00DD7585"/>
    <w:rsid w:val="00DE5418"/>
    <w:rsid w:val="00DF10DB"/>
    <w:rsid w:val="00DF5B75"/>
    <w:rsid w:val="00DF61FE"/>
    <w:rsid w:val="00E00019"/>
    <w:rsid w:val="00E04E56"/>
    <w:rsid w:val="00E11213"/>
    <w:rsid w:val="00E117C2"/>
    <w:rsid w:val="00E130F3"/>
    <w:rsid w:val="00E14330"/>
    <w:rsid w:val="00E17856"/>
    <w:rsid w:val="00E22289"/>
    <w:rsid w:val="00E22B18"/>
    <w:rsid w:val="00E319A0"/>
    <w:rsid w:val="00E31F1E"/>
    <w:rsid w:val="00E335A4"/>
    <w:rsid w:val="00E369D0"/>
    <w:rsid w:val="00E506F2"/>
    <w:rsid w:val="00E5159B"/>
    <w:rsid w:val="00E529BA"/>
    <w:rsid w:val="00E609F1"/>
    <w:rsid w:val="00E6488A"/>
    <w:rsid w:val="00E64D9D"/>
    <w:rsid w:val="00E71A04"/>
    <w:rsid w:val="00E755FC"/>
    <w:rsid w:val="00E83615"/>
    <w:rsid w:val="00E83DB7"/>
    <w:rsid w:val="00E849EA"/>
    <w:rsid w:val="00E85371"/>
    <w:rsid w:val="00E9218C"/>
    <w:rsid w:val="00E92432"/>
    <w:rsid w:val="00E92C25"/>
    <w:rsid w:val="00EA2449"/>
    <w:rsid w:val="00EA3FC9"/>
    <w:rsid w:val="00EA4B10"/>
    <w:rsid w:val="00EB0085"/>
    <w:rsid w:val="00EB59FD"/>
    <w:rsid w:val="00EC254F"/>
    <w:rsid w:val="00EC497A"/>
    <w:rsid w:val="00ED0535"/>
    <w:rsid w:val="00ED06DA"/>
    <w:rsid w:val="00ED40F8"/>
    <w:rsid w:val="00ED63AA"/>
    <w:rsid w:val="00ED72E6"/>
    <w:rsid w:val="00EE4FFD"/>
    <w:rsid w:val="00EE6B1A"/>
    <w:rsid w:val="00EF035E"/>
    <w:rsid w:val="00EF6873"/>
    <w:rsid w:val="00EF72A2"/>
    <w:rsid w:val="00EF7A74"/>
    <w:rsid w:val="00F018BD"/>
    <w:rsid w:val="00F02586"/>
    <w:rsid w:val="00F02EF4"/>
    <w:rsid w:val="00F039B8"/>
    <w:rsid w:val="00F111D6"/>
    <w:rsid w:val="00F163EF"/>
    <w:rsid w:val="00F17B36"/>
    <w:rsid w:val="00F20DCC"/>
    <w:rsid w:val="00F26EAB"/>
    <w:rsid w:val="00F27474"/>
    <w:rsid w:val="00F323E0"/>
    <w:rsid w:val="00F3445B"/>
    <w:rsid w:val="00F3779D"/>
    <w:rsid w:val="00F4226A"/>
    <w:rsid w:val="00F4269C"/>
    <w:rsid w:val="00F42DE1"/>
    <w:rsid w:val="00F4354A"/>
    <w:rsid w:val="00F52E75"/>
    <w:rsid w:val="00F5471A"/>
    <w:rsid w:val="00F56850"/>
    <w:rsid w:val="00F57A06"/>
    <w:rsid w:val="00F61EB3"/>
    <w:rsid w:val="00F66092"/>
    <w:rsid w:val="00F721D9"/>
    <w:rsid w:val="00F8107A"/>
    <w:rsid w:val="00F844D6"/>
    <w:rsid w:val="00F9041D"/>
    <w:rsid w:val="00F90ECA"/>
    <w:rsid w:val="00F946DC"/>
    <w:rsid w:val="00F94D04"/>
    <w:rsid w:val="00F95E12"/>
    <w:rsid w:val="00FA0D61"/>
    <w:rsid w:val="00FB2425"/>
    <w:rsid w:val="00FB4252"/>
    <w:rsid w:val="00FC055D"/>
    <w:rsid w:val="00FC4556"/>
    <w:rsid w:val="00FD4573"/>
    <w:rsid w:val="00FD5E28"/>
    <w:rsid w:val="00FE3478"/>
    <w:rsid w:val="00FE3E4F"/>
    <w:rsid w:val="00FE62B5"/>
    <w:rsid w:val="00FF1160"/>
    <w:rsid w:val="00FF7011"/>
    <w:rsid w:val="11F0CB85"/>
    <w:rsid w:val="16A2CF6F"/>
    <w:rsid w:val="1A274C68"/>
    <w:rsid w:val="459E997C"/>
    <w:rsid w:val="49078184"/>
    <w:rsid w:val="5C92B276"/>
    <w:rsid w:val="5EE8AF76"/>
    <w:rsid w:val="7AA29AA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50DD2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061B34"/>
    <w:pPr>
      <w:spacing w:line="480" w:lineRule="auto"/>
    </w:pPr>
    <w:rPr>
      <w:rFonts w:ascii="Times New Roman" w:eastAsia="Times New Roman" w:hAnsi="Times New Roman" w:cs="Times New Roman"/>
      <w:szCs w:val="20"/>
      <w:lang w:val="en-GB"/>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Marquedecommentaire">
    <w:name w:val="annotation reference"/>
    <w:uiPriority w:val="99"/>
    <w:semiHidden/>
    <w:unhideWhenUsed/>
    <w:rsid w:val="00CC61E9"/>
    <w:rPr>
      <w:sz w:val="18"/>
      <w:szCs w:val="18"/>
    </w:rPr>
  </w:style>
  <w:style w:type="paragraph" w:styleId="Commentaire">
    <w:name w:val="annotation text"/>
    <w:basedOn w:val="Normal"/>
    <w:link w:val="CommentaireCar"/>
    <w:uiPriority w:val="99"/>
    <w:unhideWhenUsed/>
    <w:rsid w:val="00CC61E9"/>
    <w:rPr>
      <w:szCs w:val="24"/>
    </w:rPr>
  </w:style>
  <w:style w:type="character" w:customStyle="1" w:styleId="CommentaireCar">
    <w:name w:val="Commentaire Car"/>
    <w:basedOn w:val="Policepardfaut"/>
    <w:link w:val="Commentaire"/>
    <w:uiPriority w:val="99"/>
    <w:rsid w:val="00CC61E9"/>
    <w:rPr>
      <w:rFonts w:ascii="Times New Roman" w:eastAsia="Times New Roman" w:hAnsi="Times New Roman" w:cs="Times New Roman"/>
      <w:lang w:val="en-GB"/>
    </w:rPr>
  </w:style>
  <w:style w:type="character" w:customStyle="1" w:styleId="current-selection">
    <w:name w:val="current-selection"/>
    <w:basedOn w:val="Policepardfaut"/>
    <w:rsid w:val="00CC61E9"/>
  </w:style>
  <w:style w:type="paragraph" w:styleId="Textedebulles">
    <w:name w:val="Balloon Text"/>
    <w:basedOn w:val="Normal"/>
    <w:link w:val="TextedebullesCar"/>
    <w:uiPriority w:val="99"/>
    <w:semiHidden/>
    <w:unhideWhenUsed/>
    <w:rsid w:val="00CC61E9"/>
    <w:pPr>
      <w:spacing w:line="240" w:lineRule="auto"/>
    </w:pPr>
    <w:rPr>
      <w:sz w:val="18"/>
      <w:szCs w:val="18"/>
    </w:rPr>
  </w:style>
  <w:style w:type="character" w:customStyle="1" w:styleId="TextedebullesCar">
    <w:name w:val="Texte de bulles Car"/>
    <w:basedOn w:val="Policepardfaut"/>
    <w:link w:val="Textedebulles"/>
    <w:uiPriority w:val="99"/>
    <w:semiHidden/>
    <w:rsid w:val="00CC61E9"/>
    <w:rPr>
      <w:rFonts w:ascii="Times New Roman" w:eastAsia="Times New Roman" w:hAnsi="Times New Roman" w:cs="Times New Roman"/>
      <w:sz w:val="18"/>
      <w:szCs w:val="18"/>
      <w:lang w:val="en-GB"/>
    </w:rPr>
  </w:style>
  <w:style w:type="paragraph" w:customStyle="1" w:styleId="p">
    <w:name w:val="p"/>
    <w:uiPriority w:val="99"/>
    <w:rsid w:val="00800C1B"/>
    <w:pPr>
      <w:spacing w:after="360" w:line="480" w:lineRule="atLeast"/>
      <w:ind w:firstLine="567"/>
    </w:pPr>
    <w:rPr>
      <w:rFonts w:ascii="Times New Roman" w:eastAsia="Times New Roman" w:hAnsi="Times New Roman" w:cs="Times New Roman"/>
      <w:szCs w:val="20"/>
      <w:lang w:val="en-GB"/>
    </w:rPr>
  </w:style>
  <w:style w:type="table" w:customStyle="1" w:styleId="GridTable1Light1">
    <w:name w:val="Grid Table 1 Light1"/>
    <w:basedOn w:val="TableauNormal"/>
    <w:uiPriority w:val="46"/>
    <w:rsid w:val="00800C1B"/>
    <w:rPr>
      <w:rFonts w:eastAsiaTheme="minorEastAsia"/>
      <w:sz w:val="22"/>
      <w:szCs w:val="22"/>
      <w:lang w:eastAsia="zh-C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lledutableau">
    <w:name w:val="Table Grid"/>
    <w:basedOn w:val="TableauNormal"/>
    <w:uiPriority w:val="59"/>
    <w:rsid w:val="00E849EA"/>
    <w:rPr>
      <w:rFonts w:eastAsiaTheme="minorEastAsia"/>
      <w:sz w:val="22"/>
      <w:szCs w:val="22"/>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E849EA"/>
    <w:pPr>
      <w:ind w:left="720"/>
      <w:contextualSpacing/>
    </w:pPr>
  </w:style>
  <w:style w:type="paragraph" w:styleId="Objetducommentaire">
    <w:name w:val="annotation subject"/>
    <w:basedOn w:val="Commentaire"/>
    <w:next w:val="Commentaire"/>
    <w:link w:val="ObjetducommentaireCar"/>
    <w:uiPriority w:val="99"/>
    <w:semiHidden/>
    <w:unhideWhenUsed/>
    <w:rsid w:val="007C4BF3"/>
    <w:pPr>
      <w:spacing w:line="240" w:lineRule="auto"/>
    </w:pPr>
    <w:rPr>
      <w:b/>
      <w:bCs/>
      <w:sz w:val="20"/>
      <w:szCs w:val="20"/>
    </w:rPr>
  </w:style>
  <w:style w:type="character" w:customStyle="1" w:styleId="ObjetducommentaireCar">
    <w:name w:val="Objet du commentaire Car"/>
    <w:basedOn w:val="CommentaireCar"/>
    <w:link w:val="Objetducommentaire"/>
    <w:uiPriority w:val="99"/>
    <w:semiHidden/>
    <w:rsid w:val="007C4BF3"/>
    <w:rPr>
      <w:rFonts w:ascii="Times New Roman" w:eastAsia="Times New Roman" w:hAnsi="Times New Roman" w:cs="Times New Roman"/>
      <w:b/>
      <w:bCs/>
      <w:sz w:val="20"/>
      <w:szCs w:val="20"/>
      <w:lang w:val="en-GB"/>
    </w:rPr>
  </w:style>
  <w:style w:type="paragraph" w:styleId="Bibliographie">
    <w:name w:val="Bibliography"/>
    <w:basedOn w:val="Normal"/>
    <w:next w:val="Normal"/>
    <w:uiPriority w:val="37"/>
    <w:unhideWhenUsed/>
    <w:rsid w:val="00D007BD"/>
  </w:style>
  <w:style w:type="paragraph" w:styleId="Rvision">
    <w:name w:val="Revision"/>
    <w:hidden/>
    <w:uiPriority w:val="99"/>
    <w:semiHidden/>
    <w:rsid w:val="00037E38"/>
    <w:rPr>
      <w:rFonts w:ascii="Times New Roman" w:eastAsia="Times New Roman" w:hAnsi="Times New Roman" w:cs="Times New Roman"/>
      <w:szCs w:val="20"/>
      <w:lang w:val="en-GB"/>
    </w:rPr>
  </w:style>
  <w:style w:type="paragraph" w:styleId="En-tte">
    <w:name w:val="header"/>
    <w:basedOn w:val="Normal"/>
    <w:link w:val="En-tteCar"/>
    <w:uiPriority w:val="99"/>
    <w:unhideWhenUsed/>
    <w:rsid w:val="00B572F3"/>
    <w:pPr>
      <w:tabs>
        <w:tab w:val="center" w:pos="4680"/>
        <w:tab w:val="right" w:pos="9360"/>
      </w:tabs>
      <w:spacing w:line="240" w:lineRule="auto"/>
    </w:pPr>
  </w:style>
  <w:style w:type="character" w:customStyle="1" w:styleId="En-tteCar">
    <w:name w:val="En-tête Car"/>
    <w:basedOn w:val="Policepardfaut"/>
    <w:link w:val="En-tte"/>
    <w:uiPriority w:val="99"/>
    <w:rsid w:val="00B572F3"/>
    <w:rPr>
      <w:rFonts w:ascii="Times New Roman" w:eastAsia="Times New Roman" w:hAnsi="Times New Roman" w:cs="Times New Roman"/>
      <w:szCs w:val="20"/>
      <w:lang w:val="en-GB"/>
    </w:rPr>
  </w:style>
  <w:style w:type="paragraph" w:styleId="Pieddepage">
    <w:name w:val="footer"/>
    <w:basedOn w:val="Normal"/>
    <w:link w:val="PieddepageCar"/>
    <w:uiPriority w:val="99"/>
    <w:unhideWhenUsed/>
    <w:rsid w:val="00B572F3"/>
    <w:pPr>
      <w:tabs>
        <w:tab w:val="center" w:pos="4680"/>
        <w:tab w:val="right" w:pos="9360"/>
      </w:tabs>
      <w:spacing w:line="240" w:lineRule="auto"/>
    </w:pPr>
  </w:style>
  <w:style w:type="character" w:customStyle="1" w:styleId="PieddepageCar">
    <w:name w:val="Pied de page Car"/>
    <w:basedOn w:val="Policepardfaut"/>
    <w:link w:val="Pieddepage"/>
    <w:uiPriority w:val="99"/>
    <w:rsid w:val="00B572F3"/>
    <w:rPr>
      <w:rFonts w:ascii="Times New Roman" w:eastAsia="Times New Roman" w:hAnsi="Times New Roman" w:cs="Times New Roman"/>
      <w:szCs w:val="20"/>
      <w:lang w:val="en-GB"/>
    </w:rPr>
  </w:style>
  <w:style w:type="character" w:styleId="Textedelespacerserv">
    <w:name w:val="Placeholder Text"/>
    <w:basedOn w:val="Policepardfaut"/>
    <w:uiPriority w:val="99"/>
    <w:semiHidden/>
    <w:rsid w:val="00D26A5D"/>
    <w:rPr>
      <w:color w:val="808080"/>
    </w:rPr>
  </w:style>
  <w:style w:type="paragraph" w:styleId="NormalWeb">
    <w:name w:val="Normal (Web)"/>
    <w:basedOn w:val="Normal"/>
    <w:uiPriority w:val="99"/>
    <w:unhideWhenUsed/>
    <w:rsid w:val="00C33606"/>
    <w:pPr>
      <w:spacing w:before="100" w:beforeAutospacing="1" w:after="100" w:afterAutospacing="1" w:line="240" w:lineRule="auto"/>
    </w:pPr>
    <w:rPr>
      <w:rFonts w:eastAsiaTheme="minorEastAsia"/>
      <w:szCs w:val="24"/>
      <w:lang w:eastAsia="en-GB"/>
    </w:rPr>
  </w:style>
  <w:style w:type="paragraph" w:customStyle="1" w:styleId="aug">
    <w:name w:val="aug"/>
    <w:basedOn w:val="Normal"/>
    <w:rsid w:val="00726779"/>
    <w:pPr>
      <w:spacing w:after="240" w:line="480" w:lineRule="atLeast"/>
    </w:pPr>
  </w:style>
  <w:style w:type="character" w:styleId="lev">
    <w:name w:val="Strong"/>
    <w:basedOn w:val="Policepardfaut"/>
    <w:uiPriority w:val="22"/>
    <w:qFormat/>
    <w:rsid w:val="00DD2F5F"/>
    <w:rPr>
      <w:b/>
      <w:bCs/>
    </w:rPr>
  </w:style>
  <w:style w:type="character" w:styleId="Lienhypertexte">
    <w:name w:val="Hyperlink"/>
    <w:basedOn w:val="Policepardfaut"/>
    <w:uiPriority w:val="99"/>
    <w:unhideWhenUsed/>
    <w:rsid w:val="00F52E75"/>
    <w:rPr>
      <w:color w:val="0563C1" w:themeColor="hyperlink"/>
      <w:u w:val="single"/>
    </w:rPr>
  </w:style>
  <w:style w:type="table" w:customStyle="1" w:styleId="GridTable1Light2">
    <w:name w:val="Grid Table 1 Light2"/>
    <w:basedOn w:val="TableauNormal"/>
    <w:uiPriority w:val="46"/>
    <w:rsid w:val="00983408"/>
    <w:rPr>
      <w:rFonts w:eastAsiaTheme="minorEastAsia"/>
      <w:sz w:val="22"/>
      <w:szCs w:val="22"/>
      <w:lang w:eastAsia="zh-C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GridTable1Light20">
    <w:name w:val="Grid Table 1 Light20"/>
    <w:basedOn w:val="TableauNormal"/>
    <w:next w:val="GridTable1Light2"/>
    <w:uiPriority w:val="46"/>
    <w:rsid w:val="00FE62B5"/>
    <w:rPr>
      <w:rFonts w:eastAsia="SimSun"/>
      <w:sz w:val="22"/>
      <w:szCs w:val="22"/>
      <w:lang w:eastAsia="zh-C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TableGrid1">
    <w:name w:val="Table Grid1"/>
    <w:basedOn w:val="TableauNormal"/>
    <w:next w:val="Grilledutableau"/>
    <w:uiPriority w:val="59"/>
    <w:rsid w:val="00075E00"/>
    <w:rPr>
      <w:rFonts w:eastAsia="SimSun"/>
      <w:sz w:val="22"/>
      <w:szCs w:val="22"/>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pub-sectionitem">
    <w:name w:val="epub-section__item"/>
    <w:basedOn w:val="Policepardfaut"/>
    <w:rsid w:val="0096640C"/>
  </w:style>
  <w:style w:type="character" w:styleId="Lienhypertextesuivivisit">
    <w:name w:val="FollowedHyperlink"/>
    <w:basedOn w:val="Policepardfaut"/>
    <w:uiPriority w:val="99"/>
    <w:semiHidden/>
    <w:unhideWhenUsed/>
    <w:rsid w:val="0096640C"/>
    <w:rPr>
      <w:color w:val="954F72" w:themeColor="followedHyperlink"/>
      <w:u w:val="single"/>
    </w:rPr>
  </w:style>
  <w:style w:type="character" w:styleId="Numrodepage">
    <w:name w:val="page number"/>
    <w:basedOn w:val="Policepardfaut"/>
    <w:uiPriority w:val="99"/>
    <w:semiHidden/>
    <w:unhideWhenUsed/>
    <w:rsid w:val="001A7514"/>
  </w:style>
  <w:style w:type="table" w:customStyle="1" w:styleId="GridTable1Light3">
    <w:name w:val="Grid Table 1 Light3"/>
    <w:basedOn w:val="TableauNormal"/>
    <w:next w:val="GridTable1Light4"/>
    <w:uiPriority w:val="46"/>
    <w:rsid w:val="000E6D09"/>
    <w:rPr>
      <w:rFonts w:eastAsia="SimSun"/>
      <w:sz w:val="22"/>
      <w:szCs w:val="22"/>
      <w:lang w:eastAsia="zh-CN"/>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1Light4">
    <w:name w:val="Grid Table 1 Light4"/>
    <w:basedOn w:val="TableauNormal"/>
    <w:uiPriority w:val="46"/>
    <w:rsid w:val="000E6D09"/>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normaltextrun">
    <w:name w:val="normaltextrun"/>
    <w:basedOn w:val="Policepardfaut"/>
    <w:rsid w:val="008C0C52"/>
  </w:style>
  <w:style w:type="paragraph" w:customStyle="1" w:styleId="paragraph">
    <w:name w:val="paragraph"/>
    <w:basedOn w:val="Normal"/>
    <w:rsid w:val="00F018BD"/>
    <w:pPr>
      <w:spacing w:before="100" w:beforeAutospacing="1" w:after="100" w:afterAutospacing="1" w:line="240" w:lineRule="auto"/>
    </w:pPr>
    <w:rPr>
      <w:szCs w:val="24"/>
      <w:lang w:val="de-DE" w:eastAsia="de-DE"/>
    </w:rPr>
  </w:style>
  <w:style w:type="character" w:customStyle="1" w:styleId="eop">
    <w:name w:val="eop"/>
    <w:basedOn w:val="Policepardfaut"/>
    <w:rsid w:val="00F018BD"/>
  </w:style>
  <w:style w:type="character" w:customStyle="1" w:styleId="spellingerror">
    <w:name w:val="spellingerror"/>
    <w:basedOn w:val="Policepardfaut"/>
    <w:rsid w:val="00F018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4592603">
      <w:bodyDiv w:val="1"/>
      <w:marLeft w:val="0"/>
      <w:marRight w:val="0"/>
      <w:marTop w:val="0"/>
      <w:marBottom w:val="0"/>
      <w:divBdr>
        <w:top w:val="none" w:sz="0" w:space="0" w:color="auto"/>
        <w:left w:val="none" w:sz="0" w:space="0" w:color="auto"/>
        <w:bottom w:val="none" w:sz="0" w:space="0" w:color="auto"/>
        <w:right w:val="none" w:sz="0" w:space="0" w:color="auto"/>
      </w:divBdr>
    </w:div>
    <w:div w:id="595940431">
      <w:bodyDiv w:val="1"/>
      <w:marLeft w:val="0"/>
      <w:marRight w:val="0"/>
      <w:marTop w:val="0"/>
      <w:marBottom w:val="0"/>
      <w:divBdr>
        <w:top w:val="none" w:sz="0" w:space="0" w:color="auto"/>
        <w:left w:val="none" w:sz="0" w:space="0" w:color="auto"/>
        <w:bottom w:val="none" w:sz="0" w:space="0" w:color="auto"/>
        <w:right w:val="none" w:sz="0" w:space="0" w:color="auto"/>
      </w:divBdr>
      <w:divsChild>
        <w:div w:id="1826706822">
          <w:marLeft w:val="0"/>
          <w:marRight w:val="0"/>
          <w:marTop w:val="0"/>
          <w:marBottom w:val="0"/>
          <w:divBdr>
            <w:top w:val="none" w:sz="0" w:space="0" w:color="auto"/>
            <w:left w:val="none" w:sz="0" w:space="0" w:color="auto"/>
            <w:bottom w:val="none" w:sz="0" w:space="0" w:color="auto"/>
            <w:right w:val="none" w:sz="0" w:space="0" w:color="auto"/>
          </w:divBdr>
        </w:div>
        <w:div w:id="691037165">
          <w:marLeft w:val="0"/>
          <w:marRight w:val="0"/>
          <w:marTop w:val="0"/>
          <w:marBottom w:val="0"/>
          <w:divBdr>
            <w:top w:val="none" w:sz="0" w:space="0" w:color="auto"/>
            <w:left w:val="none" w:sz="0" w:space="0" w:color="auto"/>
            <w:bottom w:val="none" w:sz="0" w:space="0" w:color="auto"/>
            <w:right w:val="none" w:sz="0" w:space="0" w:color="auto"/>
          </w:divBdr>
        </w:div>
        <w:div w:id="298844735">
          <w:marLeft w:val="0"/>
          <w:marRight w:val="0"/>
          <w:marTop w:val="0"/>
          <w:marBottom w:val="0"/>
          <w:divBdr>
            <w:top w:val="none" w:sz="0" w:space="0" w:color="auto"/>
            <w:left w:val="none" w:sz="0" w:space="0" w:color="auto"/>
            <w:bottom w:val="none" w:sz="0" w:space="0" w:color="auto"/>
            <w:right w:val="none" w:sz="0" w:space="0" w:color="auto"/>
          </w:divBdr>
        </w:div>
        <w:div w:id="889732054">
          <w:marLeft w:val="0"/>
          <w:marRight w:val="0"/>
          <w:marTop w:val="0"/>
          <w:marBottom w:val="0"/>
          <w:divBdr>
            <w:top w:val="none" w:sz="0" w:space="0" w:color="auto"/>
            <w:left w:val="none" w:sz="0" w:space="0" w:color="auto"/>
            <w:bottom w:val="none" w:sz="0" w:space="0" w:color="auto"/>
            <w:right w:val="none" w:sz="0" w:space="0" w:color="auto"/>
          </w:divBdr>
        </w:div>
      </w:divsChild>
    </w:div>
    <w:div w:id="904292363">
      <w:bodyDiv w:val="1"/>
      <w:marLeft w:val="0"/>
      <w:marRight w:val="0"/>
      <w:marTop w:val="0"/>
      <w:marBottom w:val="0"/>
      <w:divBdr>
        <w:top w:val="none" w:sz="0" w:space="0" w:color="auto"/>
        <w:left w:val="none" w:sz="0" w:space="0" w:color="auto"/>
        <w:bottom w:val="none" w:sz="0" w:space="0" w:color="auto"/>
        <w:right w:val="none" w:sz="0" w:space="0" w:color="auto"/>
      </w:divBdr>
    </w:div>
    <w:div w:id="920335642">
      <w:bodyDiv w:val="1"/>
      <w:marLeft w:val="0"/>
      <w:marRight w:val="0"/>
      <w:marTop w:val="0"/>
      <w:marBottom w:val="0"/>
      <w:divBdr>
        <w:top w:val="none" w:sz="0" w:space="0" w:color="auto"/>
        <w:left w:val="none" w:sz="0" w:space="0" w:color="auto"/>
        <w:bottom w:val="none" w:sz="0" w:space="0" w:color="auto"/>
        <w:right w:val="none" w:sz="0" w:space="0" w:color="auto"/>
      </w:divBdr>
    </w:div>
    <w:div w:id="933636582">
      <w:bodyDiv w:val="1"/>
      <w:marLeft w:val="0"/>
      <w:marRight w:val="0"/>
      <w:marTop w:val="0"/>
      <w:marBottom w:val="0"/>
      <w:divBdr>
        <w:top w:val="none" w:sz="0" w:space="0" w:color="auto"/>
        <w:left w:val="none" w:sz="0" w:space="0" w:color="auto"/>
        <w:bottom w:val="none" w:sz="0" w:space="0" w:color="auto"/>
        <w:right w:val="none" w:sz="0" w:space="0" w:color="auto"/>
      </w:divBdr>
    </w:div>
    <w:div w:id="1421635539">
      <w:bodyDiv w:val="1"/>
      <w:marLeft w:val="0"/>
      <w:marRight w:val="0"/>
      <w:marTop w:val="0"/>
      <w:marBottom w:val="0"/>
      <w:divBdr>
        <w:top w:val="none" w:sz="0" w:space="0" w:color="auto"/>
        <w:left w:val="none" w:sz="0" w:space="0" w:color="auto"/>
        <w:bottom w:val="none" w:sz="0" w:space="0" w:color="auto"/>
        <w:right w:val="none" w:sz="0" w:space="0" w:color="auto"/>
      </w:divBdr>
    </w:div>
    <w:div w:id="1489907253">
      <w:bodyDiv w:val="1"/>
      <w:marLeft w:val="0"/>
      <w:marRight w:val="0"/>
      <w:marTop w:val="0"/>
      <w:marBottom w:val="0"/>
      <w:divBdr>
        <w:top w:val="none" w:sz="0" w:space="0" w:color="auto"/>
        <w:left w:val="none" w:sz="0" w:space="0" w:color="auto"/>
        <w:bottom w:val="none" w:sz="0" w:space="0" w:color="auto"/>
        <w:right w:val="none" w:sz="0" w:space="0" w:color="auto"/>
      </w:divBdr>
    </w:div>
    <w:div w:id="1530100330">
      <w:bodyDiv w:val="1"/>
      <w:marLeft w:val="0"/>
      <w:marRight w:val="0"/>
      <w:marTop w:val="0"/>
      <w:marBottom w:val="0"/>
      <w:divBdr>
        <w:top w:val="none" w:sz="0" w:space="0" w:color="auto"/>
        <w:left w:val="none" w:sz="0" w:space="0" w:color="auto"/>
        <w:bottom w:val="none" w:sz="0" w:space="0" w:color="auto"/>
        <w:right w:val="none" w:sz="0" w:space="0" w:color="auto"/>
      </w:divBdr>
    </w:div>
    <w:div w:id="1583876835">
      <w:bodyDiv w:val="1"/>
      <w:marLeft w:val="0"/>
      <w:marRight w:val="0"/>
      <w:marTop w:val="0"/>
      <w:marBottom w:val="0"/>
      <w:divBdr>
        <w:top w:val="none" w:sz="0" w:space="0" w:color="auto"/>
        <w:left w:val="none" w:sz="0" w:space="0" w:color="auto"/>
        <w:bottom w:val="none" w:sz="0" w:space="0" w:color="auto"/>
        <w:right w:val="none" w:sz="0" w:space="0" w:color="auto"/>
      </w:divBdr>
    </w:div>
    <w:div w:id="1906333516">
      <w:bodyDiv w:val="1"/>
      <w:marLeft w:val="0"/>
      <w:marRight w:val="0"/>
      <w:marTop w:val="0"/>
      <w:marBottom w:val="0"/>
      <w:divBdr>
        <w:top w:val="none" w:sz="0" w:space="0" w:color="auto"/>
        <w:left w:val="none" w:sz="0" w:space="0" w:color="auto"/>
        <w:bottom w:val="none" w:sz="0" w:space="0" w:color="auto"/>
        <w:right w:val="none" w:sz="0" w:space="0" w:color="auto"/>
      </w:divBdr>
    </w:div>
    <w:div w:id="2027517597">
      <w:bodyDiv w:val="1"/>
      <w:marLeft w:val="0"/>
      <w:marRight w:val="0"/>
      <w:marTop w:val="0"/>
      <w:marBottom w:val="0"/>
      <w:divBdr>
        <w:top w:val="none" w:sz="0" w:space="0" w:color="auto"/>
        <w:left w:val="none" w:sz="0" w:space="0" w:color="auto"/>
        <w:bottom w:val="none" w:sz="0" w:space="0" w:color="auto"/>
        <w:right w:val="none" w:sz="0" w:space="0" w:color="auto"/>
      </w:divBdr>
    </w:div>
    <w:div w:id="208202041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jp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7.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jpe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1936F371396384BA9039D5B8CA2931F" ma:contentTypeVersion="0" ma:contentTypeDescription="Create a new document." ma:contentTypeScope="" ma:versionID="c48329076b698472d909d59657756042">
  <xsd:schema xmlns:xsd="http://www.w3.org/2001/XMLSchema" xmlns:xs="http://www.w3.org/2001/XMLSchema" xmlns:p="http://schemas.microsoft.com/office/2006/metadata/properties" targetNamespace="http://schemas.microsoft.com/office/2006/metadata/properties" ma:root="true" ma:fieldsID="10d3b0424df1e6007d74fd645ac398b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A195E6-1873-4CF0-B44B-3089E81EE3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5B60C408-3A53-4153-86DC-530862B57581}">
  <ds:schemaRefs>
    <ds:schemaRef ds:uri="http://schemas.openxmlformats.org/package/2006/metadata/core-properties"/>
    <ds:schemaRef ds:uri="http://www.w3.org/XML/1998/namespace"/>
    <ds:schemaRef ds:uri="http://purl.org/dc/dcmitype/"/>
    <ds:schemaRef ds:uri="http://purl.org/dc/elements/1.1/"/>
    <ds:schemaRef ds:uri="http://schemas.microsoft.com/office/2006/documentManagement/types"/>
    <ds:schemaRef ds:uri="http://schemas.microsoft.com/office/2006/metadata/properties"/>
    <ds:schemaRef ds:uri="http://schemas.microsoft.com/office/infopath/2007/PartnerControls"/>
    <ds:schemaRef ds:uri="http://purl.org/dc/terms/"/>
  </ds:schemaRefs>
</ds:datastoreItem>
</file>

<file path=customXml/itemProps3.xml><?xml version="1.0" encoding="utf-8"?>
<ds:datastoreItem xmlns:ds="http://schemas.openxmlformats.org/officeDocument/2006/customXml" ds:itemID="{9C914286-CD02-4719-98A5-90B25E01E6AC}">
  <ds:schemaRefs>
    <ds:schemaRef ds:uri="http://schemas.microsoft.com/sharepoint/v3/contenttype/forms"/>
  </ds:schemaRefs>
</ds:datastoreItem>
</file>

<file path=customXml/itemProps4.xml><?xml version="1.0" encoding="utf-8"?>
<ds:datastoreItem xmlns:ds="http://schemas.openxmlformats.org/officeDocument/2006/customXml" ds:itemID="{F3A6D7B6-A74E-4F48-8387-114F98561F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27</Pages>
  <Words>18931</Words>
  <Characters>119267</Characters>
  <Application>Microsoft Office Word</Application>
  <DocSecurity>0</DocSecurity>
  <Lines>993</Lines>
  <Paragraphs>275</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137923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Tobias Moser</dc:creator>
  <cp:lastModifiedBy>gwdg\pjean</cp:lastModifiedBy>
  <cp:revision>54</cp:revision>
  <cp:lastPrinted>2020-04-03T14:42:00Z</cp:lastPrinted>
  <dcterms:created xsi:type="dcterms:W3CDTF">2020-04-02T19:45:00Z</dcterms:created>
  <dcterms:modified xsi:type="dcterms:W3CDTF">2020-05-20T19:43:00Z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zotero-version="5.0.85"&gt;&lt;session id="IHe0Bnq2"/&gt;&lt;style id="http://www.zotero.org/styles/science" hasBibliography="1" bibliographyStyleHasBeenSet="1"/&gt;&lt;prefs&gt;&lt;pref name="fieldType" value="Field"/&gt;&lt;pref name="automaticJournalAbbreviat</vt:lpwstr>
  </property>
  <property fmtid="{D5CDD505-2E9C-101B-9397-08002B2CF9AE}" pid="3" name="ZOTERO_PREF_2">
    <vt:lpwstr>ions" value="true"/&gt;&lt;pref name="delayCitationUpdates" value="true"/&gt;&lt;pref name="dontAskDelayCitationUpdates" value="true"/&gt;&lt;/prefs&gt;&lt;/data&gt;</vt:lpwstr>
  </property>
  <property fmtid="{D5CDD505-2E9C-101B-9397-08002B2CF9AE}" pid="4" name="ContentTypeId">
    <vt:lpwstr>0x01010081936F371396384BA9039D5B8CA2931F</vt:lpwstr>
  </property>
  <property fmtid="{D5CDD505-2E9C-101B-9397-08002B2CF9AE}" pid="5" name="IsMyDocuments">
    <vt:bool>true</vt:bool>
  </property>
</Properties>
</file>